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D2ADC">
      <w:pPr>
        <w:widowControl w:val="0"/>
        <w:spacing w:line="580" w:lineRule="exact"/>
        <w:jc w:val="left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附件3</w:t>
      </w:r>
    </w:p>
    <w:p w14:paraId="0F55914F">
      <w:pPr>
        <w:widowControl w:val="0"/>
        <w:snapToGrid w:val="0"/>
        <w:spacing w:line="360" w:lineRule="auto"/>
        <w:rPr>
          <w:rFonts w:hint="eastAsia" w:ascii="黑体" w:hAnsi="宋体" w:eastAsia="黑体" w:cs="黑体"/>
          <w:szCs w:val="32"/>
        </w:rPr>
      </w:pPr>
    </w:p>
    <w:p w14:paraId="671218FA">
      <w:pPr>
        <w:widowControl w:val="0"/>
        <w:snapToGrid w:val="0"/>
        <w:spacing w:line="360" w:lineRule="auto"/>
        <w:jc w:val="center"/>
        <w:rPr>
          <w:sz w:val="30"/>
          <w:szCs w:val="22"/>
        </w:rPr>
      </w:pPr>
    </w:p>
    <w:p w14:paraId="532F33A7">
      <w:pPr>
        <w:widowControl w:val="0"/>
        <w:snapToGrid w:val="0"/>
        <w:spacing w:line="360" w:lineRule="auto"/>
        <w:jc w:val="center"/>
        <w:rPr>
          <w:sz w:val="30"/>
          <w:szCs w:val="22"/>
        </w:rPr>
      </w:pPr>
    </w:p>
    <w:p w14:paraId="04FDD449">
      <w:pPr>
        <w:widowControl w:val="0"/>
        <w:snapToGrid w:val="0"/>
        <w:spacing w:line="480" w:lineRule="auto"/>
        <w:jc w:val="center"/>
        <w:rPr>
          <w:rFonts w:hint="eastAsia" w:ascii="小标宋" w:hAnsi="华文楷体" w:eastAsia="小标宋" w:cs="小标宋"/>
          <w:spacing w:val="40"/>
          <w:kern w:val="13"/>
          <w:sz w:val="48"/>
          <w:szCs w:val="30"/>
        </w:rPr>
      </w:pPr>
      <w:r>
        <w:rPr>
          <w:rFonts w:hint="eastAsia" w:ascii="小标宋" w:hAnsi="华文楷体" w:eastAsia="小标宋" w:cs="小标宋"/>
          <w:spacing w:val="40"/>
          <w:kern w:val="13"/>
          <w:sz w:val="48"/>
          <w:szCs w:val="30"/>
          <w:lang w:bidi="ar"/>
        </w:rPr>
        <w:t>中国流动科技馆</w:t>
      </w:r>
    </w:p>
    <w:p w14:paraId="44A6683B">
      <w:pPr>
        <w:widowControl w:val="0"/>
        <w:snapToGrid w:val="0"/>
        <w:spacing w:line="360" w:lineRule="auto"/>
        <w:jc w:val="center"/>
        <w:rPr>
          <w:rFonts w:hint="eastAsia" w:ascii="小标宋" w:hAnsi="小标宋" w:eastAsia="小标宋" w:cs="小标宋"/>
          <w:sz w:val="84"/>
          <w:szCs w:val="84"/>
        </w:rPr>
      </w:pPr>
      <w:r>
        <w:rPr>
          <w:rFonts w:hint="eastAsia" w:ascii="小标宋" w:hAnsi="小标宋" w:eastAsia="小标宋" w:cs="小标宋"/>
          <w:sz w:val="84"/>
          <w:szCs w:val="84"/>
          <w:lang w:bidi="ar"/>
        </w:rPr>
        <w:t>常规巡展工作协议</w:t>
      </w:r>
    </w:p>
    <w:p w14:paraId="63B4E094">
      <w:pPr>
        <w:widowControl w:val="0"/>
      </w:pPr>
    </w:p>
    <w:p w14:paraId="2CB1C3CD">
      <w:pPr>
        <w:widowControl w:val="0"/>
      </w:pPr>
    </w:p>
    <w:p w14:paraId="1DC61228">
      <w:pPr>
        <w:widowControl w:val="0"/>
      </w:pPr>
    </w:p>
    <w:p w14:paraId="02710F68">
      <w:pPr>
        <w:widowControl w:val="0"/>
      </w:pPr>
    </w:p>
    <w:p w14:paraId="675E99A7">
      <w:pPr>
        <w:widowControl w:val="0"/>
      </w:pPr>
    </w:p>
    <w:p w14:paraId="1E7E301D">
      <w:pPr>
        <w:widowControl w:val="0"/>
        <w:snapToGrid w:val="0"/>
        <w:spacing w:line="480" w:lineRule="auto"/>
        <w:ind w:firstLine="1895" w:firstLineChars="674"/>
        <w:rPr>
          <w:rFonts w:hint="eastAsia" w:ascii="仿宋_GB2312" w:hAnsi="宋体" w:eastAsia="仿宋_GB2312" w:cs="仿宋_GB2312"/>
          <w:b/>
          <w:szCs w:val="28"/>
        </w:rPr>
      </w:pPr>
      <w:r>
        <w:rPr>
          <w:rFonts w:hint="eastAsia" w:ascii="仿宋_GB2312" w:eastAsia="仿宋_GB2312" w:cs="仿宋_GB2312"/>
          <w:b/>
          <w:bCs/>
          <w:szCs w:val="28"/>
          <w:lang w:bidi="ar"/>
        </w:rPr>
        <w:t>甲    方：</w:t>
      </w:r>
      <w:r>
        <w:rPr>
          <w:rFonts w:hint="eastAsia" w:ascii="仿宋_GB2312" w:hAnsi="宋体" w:eastAsia="仿宋_GB2312" w:cs="仿宋_GB2312"/>
          <w:bCs/>
          <w:szCs w:val="28"/>
          <w:u w:val="single"/>
          <w:lang w:bidi="ar"/>
        </w:rPr>
        <w:t xml:space="preserve">    中国科学技术馆      </w:t>
      </w:r>
    </w:p>
    <w:p w14:paraId="3C184AAE">
      <w:pPr>
        <w:widowControl w:val="0"/>
        <w:snapToGrid w:val="0"/>
        <w:spacing w:line="480" w:lineRule="auto"/>
        <w:ind w:firstLine="1895" w:firstLineChars="674"/>
        <w:rPr>
          <w:rFonts w:hint="eastAsia" w:ascii="仿宋_GB2312" w:hAnsi="宋体" w:eastAsia="仿宋_GB2312" w:cs="仿宋_GB2312"/>
          <w:b/>
          <w:szCs w:val="28"/>
        </w:rPr>
      </w:pPr>
      <w:r>
        <w:rPr>
          <w:rFonts w:hint="eastAsia" w:ascii="仿宋_GB2312" w:eastAsia="仿宋_GB2312" w:cs="仿宋_GB2312"/>
          <w:b/>
          <w:bCs/>
          <w:szCs w:val="28"/>
          <w:lang w:bidi="ar"/>
        </w:rPr>
        <w:t>乙    方：</w:t>
      </w:r>
      <w:r>
        <w:rPr>
          <w:rFonts w:hint="eastAsia" w:ascii="仿宋_GB2312" w:eastAsia="仿宋_GB2312" w:cs="仿宋_GB2312"/>
          <w:szCs w:val="28"/>
          <w:u w:val="single"/>
          <w:lang w:bidi="ar"/>
        </w:rPr>
        <w:t xml:space="preserve">                        </w:t>
      </w:r>
    </w:p>
    <w:p w14:paraId="1947A1F2">
      <w:pPr>
        <w:widowControl w:val="0"/>
        <w:snapToGrid w:val="0"/>
        <w:spacing w:line="560" w:lineRule="exact"/>
        <w:jc w:val="center"/>
        <w:rPr>
          <w:rFonts w:hint="eastAsia" w:ascii="仿宋_GB2312" w:hAnsi="宋体" w:eastAsia="仿宋_GB2312" w:cs="仿宋_GB2312"/>
          <w:b/>
          <w:szCs w:val="28"/>
        </w:rPr>
      </w:pPr>
    </w:p>
    <w:p w14:paraId="28E181E9">
      <w:pPr>
        <w:widowControl w:val="0"/>
        <w:snapToGrid w:val="0"/>
        <w:spacing w:line="560" w:lineRule="exact"/>
        <w:jc w:val="center"/>
        <w:rPr>
          <w:rFonts w:hint="eastAsia" w:ascii="仿宋_GB2312" w:hAnsi="宋体" w:eastAsia="仿宋_GB2312" w:cs="仿宋_GB2312"/>
          <w:b/>
          <w:szCs w:val="28"/>
        </w:rPr>
      </w:pPr>
    </w:p>
    <w:p w14:paraId="3006BE47">
      <w:pPr>
        <w:widowControl w:val="0"/>
        <w:snapToGrid w:val="0"/>
        <w:spacing w:before="120" w:beforeLines="50" w:line="300" w:lineRule="auto"/>
        <w:jc w:val="center"/>
        <w:rPr>
          <w:rFonts w:hint="eastAsia" w:ascii="小标宋" w:hAnsi="小标宋" w:eastAsia="小标宋" w:cs="小标宋"/>
          <w:sz w:val="44"/>
          <w:szCs w:val="44"/>
        </w:rPr>
      </w:pPr>
      <w:r>
        <w:rPr>
          <w:rFonts w:hint="eastAsia" w:ascii="仿宋_GB2312" w:hAnsi="宋体" w:eastAsia="仿宋_GB2312" w:cs="仿宋_GB2312"/>
          <w:b/>
          <w:bCs/>
          <w:szCs w:val="28"/>
          <w:lang w:bidi="ar"/>
        </w:rPr>
        <w:t>2025年 月</w:t>
      </w:r>
      <w:r>
        <w:rPr>
          <w:rFonts w:hint="eastAsia" w:ascii="仿宋_GB2312" w:hAnsi="宋体" w:eastAsia="仿宋_GB2312" w:cs="仿宋_GB2312"/>
          <w:b/>
          <w:bCs/>
          <w:szCs w:val="28"/>
          <w:lang w:bidi="ar"/>
        </w:rPr>
        <w:br w:type="page"/>
      </w:r>
      <w:r>
        <w:rPr>
          <w:rFonts w:hint="eastAsia" w:ascii="小标宋" w:hAnsi="小标宋" w:eastAsia="小标宋" w:cs="小标宋"/>
          <w:sz w:val="44"/>
          <w:szCs w:val="44"/>
          <w:lang w:bidi="ar"/>
        </w:rPr>
        <w:t>中国流动科技馆常规巡展工作协议</w:t>
      </w:r>
    </w:p>
    <w:p w14:paraId="1D2CBA98">
      <w:pPr>
        <w:widowControl w:val="0"/>
        <w:spacing w:line="580" w:lineRule="exact"/>
        <w:ind w:firstLine="880" w:firstLineChars="200"/>
        <w:rPr>
          <w:rFonts w:hint="eastAsia" w:ascii="小标宋" w:hAnsi="小标宋" w:eastAsia="小标宋" w:cs="小标宋"/>
          <w:sz w:val="44"/>
          <w:szCs w:val="44"/>
        </w:rPr>
      </w:pPr>
    </w:p>
    <w:p w14:paraId="23331777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</w:rPr>
      </w:pPr>
      <w:r>
        <w:rPr>
          <w:rFonts w:hint="eastAsia" w:ascii="仿宋_GB2312" w:hAnsi="宋体" w:eastAsia="仿宋_GB2312" w:cs="仿宋_GB2312"/>
          <w:b/>
          <w:szCs w:val="28"/>
          <w:lang w:bidi="ar"/>
        </w:rPr>
        <w:t>甲    方：中国科学技术馆</w:t>
      </w:r>
    </w:p>
    <w:p w14:paraId="12F2E134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</w:rPr>
      </w:pPr>
      <w:r>
        <w:rPr>
          <w:rFonts w:hint="eastAsia" w:ascii="仿宋_GB2312" w:hAnsi="宋体" w:eastAsia="仿宋_GB2312" w:cs="仿宋_GB2312"/>
          <w:b/>
          <w:szCs w:val="28"/>
          <w:lang w:bidi="ar"/>
        </w:rPr>
        <w:t>联 系 人:</w:t>
      </w:r>
      <w:r>
        <w:rPr>
          <w:rFonts w:hint="eastAsia" w:ascii="仿宋_GB2312" w:hAnsi="宋体" w:eastAsia="仿宋_GB2312" w:cs="仿宋_GB2312"/>
          <w:b/>
          <w:szCs w:val="28"/>
          <w:u w:val="single"/>
          <w:lang w:bidi="ar"/>
        </w:rPr>
        <w:t xml:space="preserve">                 </w:t>
      </w:r>
    </w:p>
    <w:p w14:paraId="2A25155A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</w:rPr>
      </w:pPr>
      <w:r>
        <w:rPr>
          <w:rFonts w:hint="eastAsia" w:ascii="仿宋_GB2312" w:hAnsi="宋体" w:eastAsia="仿宋_GB2312" w:cs="仿宋_GB2312"/>
          <w:b/>
          <w:szCs w:val="28"/>
          <w:lang w:bidi="ar"/>
        </w:rPr>
        <w:t>联系电话:</w:t>
      </w:r>
      <w:r>
        <w:rPr>
          <w:rFonts w:hint="eastAsia" w:ascii="仿宋_GB2312" w:hAnsi="宋体" w:eastAsia="仿宋_GB2312" w:cs="仿宋_GB2312"/>
          <w:b/>
          <w:szCs w:val="28"/>
          <w:u w:val="single"/>
          <w:lang w:bidi="ar"/>
        </w:rPr>
        <w:t xml:space="preserve">                 </w:t>
      </w:r>
    </w:p>
    <w:p w14:paraId="11626F07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  <w:u w:val="single"/>
        </w:rPr>
      </w:pPr>
      <w:r>
        <w:rPr>
          <w:rFonts w:hint="eastAsia" w:ascii="仿宋_GB2312" w:hAnsi="宋体" w:eastAsia="仿宋_GB2312" w:cs="仿宋_GB2312"/>
          <w:b/>
          <w:szCs w:val="28"/>
          <w:lang w:bidi="ar"/>
        </w:rPr>
        <w:t>电子邮件:</w:t>
      </w:r>
      <w:r>
        <w:rPr>
          <w:rFonts w:hint="eastAsia" w:ascii="仿宋_GB2312" w:hAnsi="宋体" w:eastAsia="仿宋_GB2312" w:cs="仿宋_GB2312"/>
          <w:b/>
          <w:szCs w:val="28"/>
          <w:u w:val="single"/>
          <w:lang w:bidi="ar"/>
        </w:rPr>
        <w:t xml:space="preserve">                 </w:t>
      </w:r>
    </w:p>
    <w:p w14:paraId="3DD178C8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</w:rPr>
      </w:pPr>
    </w:p>
    <w:p w14:paraId="48FF38D6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</w:rPr>
      </w:pPr>
      <w:r>
        <w:rPr>
          <w:rFonts w:hint="eastAsia" w:ascii="仿宋_GB2312" w:hAnsi="宋体" w:eastAsia="仿宋_GB2312" w:cs="仿宋_GB2312"/>
          <w:b/>
          <w:szCs w:val="28"/>
          <w:lang w:bidi="ar"/>
        </w:rPr>
        <w:t>乙    方：</w:t>
      </w:r>
      <w:r>
        <w:rPr>
          <w:rFonts w:hint="eastAsia" w:ascii="仿宋_GB2312" w:hAnsi="宋体" w:eastAsia="仿宋_GB2312" w:cs="仿宋_GB2312"/>
          <w:b/>
          <w:szCs w:val="28"/>
          <w:u w:val="single"/>
          <w:lang w:bidi="ar"/>
        </w:rPr>
        <w:t xml:space="preserve">                </w:t>
      </w:r>
    </w:p>
    <w:p w14:paraId="164A923F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</w:rPr>
      </w:pPr>
      <w:r>
        <w:rPr>
          <w:rFonts w:hint="eastAsia" w:ascii="仿宋_GB2312" w:hAnsi="宋体" w:eastAsia="仿宋_GB2312" w:cs="仿宋_GB2312"/>
          <w:b/>
          <w:szCs w:val="28"/>
          <w:lang w:bidi="ar"/>
        </w:rPr>
        <w:t>联 系 人:</w:t>
      </w:r>
      <w:r>
        <w:rPr>
          <w:rFonts w:hint="eastAsia" w:ascii="仿宋_GB2312" w:hAnsi="宋体" w:eastAsia="仿宋_GB2312" w:cs="仿宋_GB2312"/>
          <w:b/>
          <w:szCs w:val="28"/>
          <w:u w:val="single"/>
          <w:lang w:bidi="ar"/>
        </w:rPr>
        <w:t xml:space="preserve">                 </w:t>
      </w:r>
    </w:p>
    <w:p w14:paraId="6D362B4A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</w:rPr>
      </w:pPr>
      <w:r>
        <w:rPr>
          <w:rFonts w:hint="eastAsia" w:ascii="仿宋_GB2312" w:hAnsi="宋体" w:eastAsia="仿宋_GB2312" w:cs="仿宋_GB2312"/>
          <w:b/>
          <w:szCs w:val="28"/>
          <w:lang w:bidi="ar"/>
        </w:rPr>
        <w:t>联系电话:</w:t>
      </w:r>
      <w:r>
        <w:rPr>
          <w:rFonts w:hint="eastAsia" w:ascii="仿宋_GB2312" w:hAnsi="宋体" w:eastAsia="仿宋_GB2312" w:cs="仿宋_GB2312"/>
          <w:b/>
          <w:szCs w:val="28"/>
          <w:u w:val="single"/>
          <w:lang w:bidi="ar"/>
        </w:rPr>
        <w:t xml:space="preserve">                 </w:t>
      </w:r>
    </w:p>
    <w:p w14:paraId="1C83E13D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szCs w:val="28"/>
          <w:u w:val="single"/>
        </w:rPr>
      </w:pPr>
      <w:r>
        <w:rPr>
          <w:rFonts w:hint="eastAsia" w:ascii="仿宋_GB2312" w:hAnsi="宋体" w:eastAsia="仿宋_GB2312" w:cs="仿宋_GB2312"/>
          <w:b/>
          <w:szCs w:val="28"/>
          <w:lang w:bidi="ar"/>
        </w:rPr>
        <w:t>电子邮件:</w:t>
      </w:r>
      <w:r>
        <w:rPr>
          <w:rFonts w:hint="eastAsia" w:ascii="仿宋_GB2312" w:hAnsi="宋体" w:eastAsia="仿宋_GB2312" w:cs="仿宋_GB2312"/>
          <w:b/>
          <w:szCs w:val="28"/>
          <w:u w:val="single"/>
          <w:lang w:bidi="ar"/>
        </w:rPr>
        <w:t xml:space="preserve">                 </w:t>
      </w:r>
    </w:p>
    <w:p w14:paraId="049F1F52">
      <w:pPr>
        <w:widowControl w:val="0"/>
        <w:spacing w:line="580" w:lineRule="exact"/>
        <w:ind w:firstLine="562" w:firstLineChars="200"/>
        <w:rPr>
          <w:rFonts w:hint="eastAsia" w:ascii="仿宋_GB2312" w:hAnsi="宋体" w:eastAsia="仿宋_GB2312" w:cs="仿宋_GB2312"/>
          <w:b/>
          <w:szCs w:val="28"/>
        </w:rPr>
      </w:pPr>
    </w:p>
    <w:p w14:paraId="1BFA384D">
      <w:pPr>
        <w:widowControl w:val="0"/>
        <w:snapToGrid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为进一步落实《全民科学素质行动计划纲要》，创建科普展教资源共建共享联动机制，加大科技馆科学教育功能覆盖面，加强科学知识、科学思想、科学方法和科学精神的宣传教育，经甲、乙双方友好协商，就中国流动科技馆项目常规巡展工作达成本协议，具体内容如下：</w:t>
      </w:r>
    </w:p>
    <w:p w14:paraId="48E7A88D">
      <w:pPr>
        <w:pStyle w:val="5"/>
        <w:widowControl w:val="0"/>
        <w:numPr>
          <w:ilvl w:val="0"/>
          <w:numId w:val="1"/>
        </w:numPr>
        <w:snapToGrid w:val="0"/>
        <w:spacing w:line="580" w:lineRule="exact"/>
        <w:ind w:left="0" w:firstLine="560" w:firstLineChars="200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项目内容</w:t>
      </w:r>
    </w:p>
    <w:p w14:paraId="7E4204AD">
      <w:pPr>
        <w:pStyle w:val="5"/>
        <w:widowControl w:val="0"/>
        <w:snapToGrid w:val="0"/>
        <w:spacing w:line="580" w:lineRule="exact"/>
        <w:ind w:firstLine="560" w:firstLineChars="200"/>
        <w:rPr>
          <w:rFonts w:hint="eastAsia" w:hAnsi="宋体" w:cs="仿宋_GB2312"/>
          <w:sz w:val="28"/>
          <w:szCs w:val="28"/>
        </w:rPr>
      </w:pPr>
      <w:r>
        <w:rPr>
          <w:rFonts w:hint="eastAsia" w:hAnsi="宋体" w:cs="仿宋_GB2312"/>
          <w:sz w:val="28"/>
          <w:szCs w:val="28"/>
        </w:rPr>
        <w:t>中国流动科技馆巡展工作项目，展览资源共</w:t>
      </w:r>
      <w:r>
        <w:rPr>
          <w:rFonts w:hint="eastAsia" w:hAnsi="宋体" w:cs="仿宋_GB2312"/>
          <w:sz w:val="28"/>
          <w:szCs w:val="28"/>
          <w:u w:val="single"/>
        </w:rPr>
        <w:t xml:space="preserve">    </w:t>
      </w:r>
      <w:r>
        <w:rPr>
          <w:rFonts w:hint="eastAsia" w:hAnsi="宋体" w:cs="仿宋_GB2312"/>
          <w:sz w:val="28"/>
          <w:szCs w:val="28"/>
        </w:rPr>
        <w:t>套：</w:t>
      </w:r>
    </w:p>
    <w:p w14:paraId="26128BD0">
      <w:pPr>
        <w:pStyle w:val="5"/>
        <w:widowControl w:val="0"/>
        <w:tabs>
          <w:tab w:val="left" w:pos="8820"/>
        </w:tabs>
        <w:spacing w:line="500" w:lineRule="exact"/>
        <w:ind w:firstLine="560" w:firstLineChars="200"/>
        <w:rPr>
          <w:rFonts w:hint="eastAsia"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hAnsi="仿宋_GB2312" w:cs="仿宋_GB2312"/>
          <w:sz w:val="28"/>
          <w:szCs w:val="28"/>
        </w:rPr>
        <w:t>展览，展品数量：</w:t>
      </w:r>
      <w:r>
        <w:rPr>
          <w:rFonts w:hint="eastAsia" w:hAnsi="仿宋_GB2312" w:cs="仿宋_GB2312"/>
          <w:sz w:val="28"/>
          <w:szCs w:val="28"/>
          <w:u w:val="single"/>
        </w:rPr>
        <w:t xml:space="preserve">      </w:t>
      </w:r>
      <w:r>
        <w:rPr>
          <w:rFonts w:hint="eastAsia" w:hAnsi="仿宋_GB2312" w:cs="仿宋_GB2312"/>
          <w:sz w:val="28"/>
          <w:szCs w:val="28"/>
        </w:rPr>
        <w:t>件；</w:t>
      </w:r>
    </w:p>
    <w:p w14:paraId="7A1B6CF5">
      <w:pPr>
        <w:pStyle w:val="5"/>
        <w:widowControl w:val="0"/>
        <w:tabs>
          <w:tab w:val="left" w:pos="8820"/>
        </w:tabs>
        <w:spacing w:line="500" w:lineRule="exact"/>
        <w:ind w:firstLine="560" w:firstLineChars="200"/>
        <w:rPr>
          <w:rFonts w:hint="eastAsia"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hAnsi="仿宋_GB2312" w:cs="仿宋_GB2312"/>
          <w:sz w:val="28"/>
          <w:szCs w:val="28"/>
        </w:rPr>
        <w:t>展览，展品数量：</w:t>
      </w:r>
      <w:r>
        <w:rPr>
          <w:rFonts w:hint="eastAsia" w:hAnsi="仿宋_GB2312" w:cs="仿宋_GB2312"/>
          <w:sz w:val="28"/>
          <w:szCs w:val="28"/>
          <w:u w:val="single"/>
        </w:rPr>
        <w:t xml:space="preserve">      </w:t>
      </w:r>
      <w:r>
        <w:rPr>
          <w:rFonts w:hint="eastAsia" w:hAnsi="仿宋_GB2312" w:cs="仿宋_GB2312"/>
          <w:sz w:val="28"/>
          <w:szCs w:val="28"/>
        </w:rPr>
        <w:t>件；</w:t>
      </w:r>
    </w:p>
    <w:p w14:paraId="7AB5F792">
      <w:pPr>
        <w:pStyle w:val="5"/>
        <w:widowControl w:val="0"/>
        <w:tabs>
          <w:tab w:val="left" w:pos="8820"/>
        </w:tabs>
        <w:spacing w:line="500" w:lineRule="exact"/>
        <w:ind w:firstLine="560" w:firstLineChars="200"/>
        <w:rPr>
          <w:rFonts w:hint="eastAsia"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hAnsi="仿宋_GB2312" w:cs="仿宋_GB2312"/>
          <w:sz w:val="28"/>
          <w:szCs w:val="28"/>
        </w:rPr>
        <w:t>展览，展品数量：</w:t>
      </w:r>
      <w:r>
        <w:rPr>
          <w:rFonts w:hint="eastAsia" w:hAnsi="仿宋_GB2312" w:cs="仿宋_GB2312"/>
          <w:sz w:val="28"/>
          <w:szCs w:val="28"/>
          <w:u w:val="single"/>
        </w:rPr>
        <w:t xml:space="preserve">      </w:t>
      </w:r>
      <w:r>
        <w:rPr>
          <w:rFonts w:hint="eastAsia" w:hAnsi="仿宋_GB2312" w:cs="仿宋_GB2312"/>
          <w:sz w:val="28"/>
          <w:szCs w:val="28"/>
        </w:rPr>
        <w:t>件；</w:t>
      </w:r>
    </w:p>
    <w:p w14:paraId="08C9D2A8">
      <w:pPr>
        <w:pStyle w:val="5"/>
        <w:widowControl w:val="0"/>
        <w:tabs>
          <w:tab w:val="left" w:pos="8820"/>
        </w:tabs>
        <w:spacing w:line="500" w:lineRule="exact"/>
        <w:ind w:firstLine="560" w:firstLineChars="200"/>
        <w:rPr>
          <w:rFonts w:hint="eastAsia"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hAnsi="仿宋_GB2312" w:cs="仿宋_GB2312"/>
          <w:sz w:val="28"/>
          <w:szCs w:val="28"/>
        </w:rPr>
        <w:t>展览，展品数量：</w:t>
      </w:r>
      <w:r>
        <w:rPr>
          <w:rFonts w:hint="eastAsia" w:hAnsi="仿宋_GB2312" w:cs="仿宋_GB2312"/>
          <w:sz w:val="28"/>
          <w:szCs w:val="28"/>
          <w:u w:val="single"/>
        </w:rPr>
        <w:t xml:space="preserve">      </w:t>
      </w:r>
      <w:r>
        <w:rPr>
          <w:rFonts w:hint="eastAsia" w:hAnsi="仿宋_GB2312" w:cs="仿宋_GB2312"/>
          <w:sz w:val="28"/>
          <w:szCs w:val="28"/>
        </w:rPr>
        <w:t>件；</w:t>
      </w:r>
    </w:p>
    <w:p w14:paraId="6EB77F4A">
      <w:pPr>
        <w:pStyle w:val="5"/>
        <w:widowControl w:val="0"/>
        <w:tabs>
          <w:tab w:val="left" w:pos="8820"/>
        </w:tabs>
        <w:spacing w:line="500" w:lineRule="exact"/>
        <w:ind w:firstLine="560" w:firstLineChars="200"/>
        <w:rPr>
          <w:rFonts w:hint="eastAsia"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hAnsi="仿宋_GB2312" w:cs="仿宋_GB2312"/>
          <w:sz w:val="28"/>
          <w:szCs w:val="28"/>
        </w:rPr>
        <w:t>展览，展品数量：</w:t>
      </w:r>
      <w:r>
        <w:rPr>
          <w:rFonts w:hint="eastAsia" w:hAnsi="仿宋_GB2312" w:cs="仿宋_GB2312"/>
          <w:sz w:val="28"/>
          <w:szCs w:val="28"/>
          <w:u w:val="single"/>
        </w:rPr>
        <w:t xml:space="preserve">      </w:t>
      </w:r>
      <w:r>
        <w:rPr>
          <w:rFonts w:hint="eastAsia" w:hAnsi="仿宋_GB2312" w:cs="仿宋_GB2312"/>
          <w:sz w:val="28"/>
          <w:szCs w:val="28"/>
        </w:rPr>
        <w:t>件；</w:t>
      </w:r>
    </w:p>
    <w:p w14:paraId="0BB37D04">
      <w:pPr>
        <w:pStyle w:val="5"/>
        <w:widowControl w:val="0"/>
        <w:tabs>
          <w:tab w:val="left" w:pos="8820"/>
        </w:tabs>
        <w:spacing w:line="500" w:lineRule="exact"/>
        <w:ind w:firstLine="560" w:firstLineChars="200"/>
        <w:rPr>
          <w:rFonts w:hint="eastAsia" w:hAnsi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hAnsi="仿宋_GB2312" w:cs="仿宋_GB2312"/>
          <w:sz w:val="28"/>
          <w:szCs w:val="28"/>
        </w:rPr>
        <w:t>展览，展品数量：</w:t>
      </w:r>
      <w:r>
        <w:rPr>
          <w:rFonts w:hint="eastAsia" w:hAnsi="仿宋_GB2312" w:cs="仿宋_GB2312"/>
          <w:sz w:val="28"/>
          <w:szCs w:val="28"/>
          <w:u w:val="single"/>
        </w:rPr>
        <w:t xml:space="preserve">      </w:t>
      </w:r>
      <w:r>
        <w:rPr>
          <w:rFonts w:hint="eastAsia" w:hAnsi="仿宋_GB2312" w:cs="仿宋_GB2312"/>
          <w:sz w:val="28"/>
          <w:szCs w:val="28"/>
        </w:rPr>
        <w:t>件。</w:t>
      </w:r>
    </w:p>
    <w:p w14:paraId="642DDBCE">
      <w:pPr>
        <w:pStyle w:val="5"/>
        <w:widowControl w:val="0"/>
        <w:numPr>
          <w:ilvl w:val="0"/>
          <w:numId w:val="1"/>
        </w:numPr>
        <w:snapToGrid w:val="0"/>
        <w:spacing w:line="580" w:lineRule="exact"/>
        <w:ind w:left="0" w:firstLine="560" w:firstLineChars="200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实施时间</w:t>
      </w:r>
    </w:p>
    <w:p w14:paraId="3C80959D">
      <w:pPr>
        <w:widowControl w:val="0"/>
        <w:tabs>
          <w:tab w:val="left" w:pos="945"/>
          <w:tab w:val="left" w:pos="1050"/>
        </w:tabs>
        <w:snapToGrid w:val="0"/>
        <w:spacing w:line="580" w:lineRule="exact"/>
        <w:ind w:firstLine="548" w:firstLineChars="196"/>
      </w:pPr>
      <w:r>
        <w:rPr>
          <w:rFonts w:hint="eastAsia" w:ascii="仿宋_GB2312" w:hAnsi="宋体" w:eastAsia="仿宋_GB2312" w:cs="仿宋_GB2312"/>
          <w:szCs w:val="28"/>
          <w:lang w:bidi="ar"/>
        </w:rPr>
        <w:t>巡展周期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   </w:t>
      </w:r>
      <w:r>
        <w:rPr>
          <w:rFonts w:hint="eastAsia" w:ascii="仿宋_GB2312" w:hAnsi="宋体" w:eastAsia="仿宋_GB2312" w:cs="仿宋_GB2312"/>
          <w:szCs w:val="28"/>
          <w:lang w:bidi="ar"/>
        </w:rPr>
        <w:t>，即2025年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</w:t>
      </w:r>
      <w:r>
        <w:rPr>
          <w:rFonts w:hint="eastAsia" w:ascii="仿宋_GB2312" w:hAnsi="宋体" w:eastAsia="仿宋_GB2312" w:cs="仿宋_GB2312"/>
          <w:szCs w:val="28"/>
          <w:lang w:bidi="ar"/>
        </w:rPr>
        <w:t>月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</w:t>
      </w:r>
      <w:r>
        <w:rPr>
          <w:rFonts w:hint="eastAsia" w:ascii="仿宋_GB2312" w:hAnsi="宋体" w:eastAsia="仿宋_GB2312" w:cs="仿宋_GB2312"/>
          <w:szCs w:val="28"/>
          <w:lang w:bidi="ar"/>
        </w:rPr>
        <w:t>日至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szCs w:val="28"/>
          <w:lang w:bidi="ar"/>
        </w:rPr>
        <w:t>年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</w:t>
      </w:r>
      <w:r>
        <w:rPr>
          <w:rFonts w:hint="eastAsia" w:ascii="仿宋_GB2312" w:hAnsi="宋体" w:eastAsia="仿宋_GB2312" w:cs="仿宋_GB2312"/>
          <w:szCs w:val="28"/>
          <w:lang w:bidi="ar"/>
        </w:rPr>
        <w:t>月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</w:t>
      </w:r>
      <w:r>
        <w:rPr>
          <w:rFonts w:hint="eastAsia" w:ascii="仿宋_GB2312" w:hAnsi="宋体" w:eastAsia="仿宋_GB2312" w:cs="仿宋_GB2312"/>
          <w:szCs w:val="28"/>
          <w:lang w:bidi="ar"/>
        </w:rPr>
        <w:t>日。</w:t>
      </w:r>
    </w:p>
    <w:p w14:paraId="09183B57">
      <w:pPr>
        <w:pStyle w:val="5"/>
        <w:widowControl w:val="0"/>
        <w:numPr>
          <w:ilvl w:val="0"/>
          <w:numId w:val="1"/>
        </w:numPr>
        <w:snapToGrid w:val="0"/>
        <w:spacing w:line="580" w:lineRule="exact"/>
        <w:ind w:left="0" w:firstLine="560" w:firstLineChars="200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甲方职责</w:t>
      </w:r>
    </w:p>
    <w:p w14:paraId="570A2689">
      <w:pPr>
        <w:widowControl w:val="0"/>
        <w:numPr>
          <w:ilvl w:val="0"/>
          <w:numId w:val="2"/>
        </w:numPr>
        <w:snapToGrid w:val="0"/>
        <w:spacing w:line="58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负责中国流动科技馆科普资源的开发，委托展览制作公司提供质保服务；</w:t>
      </w:r>
    </w:p>
    <w:p w14:paraId="072999AA">
      <w:pPr>
        <w:widowControl w:val="0"/>
        <w:numPr>
          <w:ilvl w:val="0"/>
          <w:numId w:val="2"/>
        </w:numPr>
        <w:snapToGrid w:val="0"/>
        <w:spacing w:line="58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负责提供展览安装调试、布撤展、日常维护等技术资料，委托展览制作公司对乙方进行业务培训；</w:t>
      </w:r>
    </w:p>
    <w:p w14:paraId="26715C56">
      <w:pPr>
        <w:widowControl w:val="0"/>
        <w:numPr>
          <w:ilvl w:val="0"/>
          <w:numId w:val="2"/>
        </w:numPr>
        <w:snapToGrid w:val="0"/>
        <w:spacing w:line="58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负责提供展览参观的科技辅导资料；</w:t>
      </w:r>
    </w:p>
    <w:p w14:paraId="557208FA">
      <w:pPr>
        <w:widowControl w:val="0"/>
        <w:numPr>
          <w:ilvl w:val="0"/>
          <w:numId w:val="2"/>
        </w:numPr>
        <w:snapToGrid w:val="0"/>
        <w:spacing w:line="58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负责汇总项目巡展过程中媒体宣传资料、记录活动开展的声像资料、以及工作总结等相关资料；</w:t>
      </w:r>
    </w:p>
    <w:p w14:paraId="6CF29365">
      <w:pPr>
        <w:widowControl w:val="0"/>
        <w:numPr>
          <w:ilvl w:val="0"/>
          <w:numId w:val="2"/>
        </w:numPr>
        <w:snapToGrid w:val="0"/>
        <w:spacing w:line="58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负责组织对巡展工作效果的评估及奖励制度的执行；</w:t>
      </w:r>
    </w:p>
    <w:p w14:paraId="587CA4D1">
      <w:pPr>
        <w:widowControl w:val="0"/>
        <w:numPr>
          <w:ilvl w:val="0"/>
          <w:numId w:val="2"/>
        </w:numPr>
        <w:snapToGrid w:val="0"/>
        <w:spacing w:line="58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负责组织对项目实施的年终总结。</w:t>
      </w:r>
    </w:p>
    <w:p w14:paraId="0BA0716D">
      <w:pPr>
        <w:pStyle w:val="5"/>
        <w:widowControl w:val="0"/>
        <w:numPr>
          <w:ilvl w:val="0"/>
          <w:numId w:val="1"/>
        </w:numPr>
        <w:snapToGrid w:val="0"/>
        <w:spacing w:line="580" w:lineRule="exact"/>
        <w:ind w:left="0" w:firstLine="560" w:firstLineChars="200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乙方职责</w:t>
      </w:r>
    </w:p>
    <w:p w14:paraId="20CBE152">
      <w:pPr>
        <w:widowControl w:val="0"/>
        <w:numPr>
          <w:ilvl w:val="0"/>
          <w:numId w:val="3"/>
        </w:numPr>
        <w:snapToGrid w:val="0"/>
        <w:spacing w:line="58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负责制定流动科技馆在本省的巡展方案，并申请省财政的经费保障，每个站点展出时间不少于2个月，一年巡展3-4站，3-4年巡展周期内每套展览总巡展站数不少于12站；</w:t>
      </w:r>
    </w:p>
    <w:p w14:paraId="0F992CB0">
      <w:pPr>
        <w:widowControl w:val="0"/>
        <w:numPr>
          <w:ilvl w:val="0"/>
          <w:numId w:val="3"/>
        </w:numPr>
        <w:snapToGrid w:val="0"/>
        <w:spacing w:line="580" w:lineRule="exact"/>
        <w:ind w:left="0" w:firstLine="536" w:firstLineChars="200"/>
        <w:rPr>
          <w:rFonts w:hint="eastAsia" w:ascii="仿宋_GB2312" w:hAnsi="宋体" w:eastAsia="仿宋_GB2312" w:cs="宋体"/>
          <w:spacing w:val="-6"/>
          <w:szCs w:val="28"/>
        </w:rPr>
      </w:pPr>
      <w:r>
        <w:rPr>
          <w:rFonts w:hint="eastAsia" w:ascii="仿宋_GB2312" w:hAnsi="宋体" w:eastAsia="仿宋_GB2312" w:cs="宋体"/>
          <w:spacing w:val="-6"/>
          <w:szCs w:val="28"/>
          <w:lang w:bidi="ar"/>
        </w:rPr>
        <w:t>负责流动科技馆在本省巡展的组织实施，包括：场地落实（面积在600m</w:t>
      </w:r>
      <w:r>
        <w:rPr>
          <w:rFonts w:hint="eastAsia" w:ascii="仿宋_GB2312" w:hAnsi="宋体" w:eastAsia="仿宋_GB2312" w:cs="宋体"/>
          <w:spacing w:val="-6"/>
          <w:szCs w:val="28"/>
          <w:vertAlign w:val="superscript"/>
          <w:lang w:bidi="ar"/>
        </w:rPr>
        <w:t>2</w:t>
      </w:r>
      <w:r>
        <w:rPr>
          <w:rFonts w:hint="eastAsia" w:ascii="仿宋_GB2312" w:hAnsi="宋体" w:eastAsia="仿宋_GB2312" w:cs="宋体"/>
          <w:spacing w:val="-6"/>
          <w:szCs w:val="28"/>
          <w:lang w:bidi="ar"/>
        </w:rPr>
        <w:t>-800m</w:t>
      </w:r>
      <w:r>
        <w:rPr>
          <w:rFonts w:hint="eastAsia" w:ascii="仿宋_GB2312" w:hAnsi="宋体" w:eastAsia="仿宋_GB2312" w:cs="宋体"/>
          <w:spacing w:val="-6"/>
          <w:szCs w:val="28"/>
          <w:vertAlign w:val="superscript"/>
          <w:lang w:bidi="ar"/>
        </w:rPr>
        <w:t>2</w:t>
      </w:r>
      <w:r>
        <w:rPr>
          <w:rFonts w:hint="eastAsia" w:ascii="仿宋_GB2312" w:hAnsi="宋体" w:eastAsia="仿宋_GB2312" w:cs="宋体"/>
          <w:spacing w:val="-6"/>
          <w:szCs w:val="28"/>
          <w:lang w:bidi="ar"/>
        </w:rPr>
        <w:t>，如需在室内开展特效球幕影视活动，房间高度不能低于4米）、展览运输、布撤展、安装调试、日常管理和维护、教育活动开展、观众组织、安全保障、媒体宣传等，建议每站配备展教和日常维护人员不少于2人；</w:t>
      </w:r>
    </w:p>
    <w:p w14:paraId="18D6DDF6">
      <w:pPr>
        <w:widowControl w:val="0"/>
        <w:numPr>
          <w:ilvl w:val="0"/>
          <w:numId w:val="3"/>
        </w:numPr>
        <w:snapToGrid w:val="0"/>
        <w:spacing w:line="56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负责对县市流动科技馆展教人员进行辅导和培训，使流动科技馆在本省的巡展中发挥有效作用；积极组织观众，尤其是青少年，对县域内中小学生覆盖率不低于95%；</w:t>
      </w:r>
    </w:p>
    <w:p w14:paraId="5D42AC6C">
      <w:pPr>
        <w:widowControl w:val="0"/>
        <w:numPr>
          <w:ilvl w:val="0"/>
          <w:numId w:val="3"/>
        </w:numPr>
        <w:snapToGrid w:val="0"/>
        <w:spacing w:line="56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负责巡展期间对参观人数的统计、展品完好率及展品维修记录表的填写，展品完好率不低于90%，每月25日前通过“全国流动科普设施服务平台”上报；</w:t>
      </w:r>
    </w:p>
    <w:p w14:paraId="7F5DAA4B">
      <w:pPr>
        <w:widowControl w:val="0"/>
        <w:numPr>
          <w:ilvl w:val="0"/>
          <w:numId w:val="3"/>
        </w:numPr>
        <w:snapToGrid w:val="0"/>
        <w:spacing w:line="56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负责收集本省各站点媒体宣传资料、记录活动开展的声像资料、以及工作总结等，每个站点巡展结束后10个工作日内通过“全国流动科普设施服务平台”上报；</w:t>
      </w:r>
    </w:p>
    <w:p w14:paraId="43ACDA1D">
      <w:pPr>
        <w:widowControl w:val="0"/>
        <w:numPr>
          <w:ilvl w:val="0"/>
          <w:numId w:val="3"/>
        </w:numPr>
        <w:snapToGrid w:val="0"/>
        <w:spacing w:line="560" w:lineRule="exact"/>
        <w:ind w:left="0" w:firstLine="560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负责完成本省本年度巡展工作总结；</w:t>
      </w:r>
    </w:p>
    <w:p w14:paraId="47CF274A">
      <w:pPr>
        <w:widowControl w:val="0"/>
        <w:numPr>
          <w:ilvl w:val="0"/>
          <w:numId w:val="3"/>
        </w:numPr>
        <w:snapToGrid w:val="0"/>
        <w:spacing w:line="560" w:lineRule="exact"/>
        <w:ind w:left="0" w:firstLine="516" w:firstLineChars="200"/>
        <w:rPr>
          <w:rFonts w:hint="eastAsia" w:ascii="仿宋_GB2312" w:hAnsi="宋体" w:eastAsia="仿宋_GB2312" w:cs="宋体"/>
          <w:szCs w:val="28"/>
        </w:rPr>
      </w:pPr>
      <w:r>
        <w:rPr>
          <w:rFonts w:hint="eastAsia" w:ascii="仿宋_GB2312" w:hAnsi="宋体" w:eastAsia="仿宋_GB2312" w:cs="宋体"/>
          <w:spacing w:val="-11"/>
          <w:szCs w:val="28"/>
          <w:lang w:bidi="ar"/>
        </w:rPr>
        <w:t>负责展览完整性，不能异地拆分布展；未得到甲方同意，不得将展品随意转借他人和私自处置；不得将展览或展品用于本协议以外的其他用途。</w:t>
      </w:r>
    </w:p>
    <w:p w14:paraId="5F7C5908">
      <w:pPr>
        <w:pStyle w:val="5"/>
        <w:widowControl w:val="0"/>
        <w:numPr>
          <w:ilvl w:val="0"/>
          <w:numId w:val="1"/>
        </w:numPr>
        <w:snapToGrid w:val="0"/>
        <w:spacing w:line="560" w:lineRule="exact"/>
        <w:ind w:left="0" w:firstLine="560" w:firstLineChars="200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甲方权益</w:t>
      </w:r>
    </w:p>
    <w:p w14:paraId="04502B45">
      <w:pPr>
        <w:widowControl w:val="0"/>
        <w:numPr>
          <w:ilvl w:val="1"/>
          <w:numId w:val="1"/>
        </w:numPr>
        <w:snapToGrid w:val="0"/>
        <w:spacing w:line="560" w:lineRule="exact"/>
        <w:ind w:left="0"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拥有流动科技馆科普资源的产权；</w:t>
      </w:r>
    </w:p>
    <w:p w14:paraId="711871A4">
      <w:pPr>
        <w:widowControl w:val="0"/>
        <w:numPr>
          <w:ilvl w:val="1"/>
          <w:numId w:val="1"/>
        </w:numPr>
        <w:snapToGrid w:val="0"/>
        <w:spacing w:line="560" w:lineRule="exact"/>
        <w:ind w:left="0"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宋体"/>
          <w:szCs w:val="28"/>
          <w:lang w:bidi="ar"/>
        </w:rPr>
        <w:t>拥有巡展活动的第一冠名权。</w:t>
      </w:r>
    </w:p>
    <w:p w14:paraId="11D0485F">
      <w:pPr>
        <w:pStyle w:val="5"/>
        <w:widowControl w:val="0"/>
        <w:numPr>
          <w:ilvl w:val="0"/>
          <w:numId w:val="1"/>
        </w:numPr>
        <w:snapToGrid w:val="0"/>
        <w:spacing w:line="560" w:lineRule="exact"/>
        <w:ind w:left="0" w:firstLine="560" w:firstLineChars="200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乙方权益</w:t>
      </w:r>
    </w:p>
    <w:p w14:paraId="0493A131">
      <w:pPr>
        <w:widowControl w:val="0"/>
        <w:numPr>
          <w:ilvl w:val="1"/>
          <w:numId w:val="1"/>
        </w:numPr>
        <w:snapToGrid w:val="0"/>
        <w:spacing w:line="560" w:lineRule="exact"/>
        <w:ind w:left="0"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有权对展览制作公司的质保和维修服务工作进行监督与评价；</w:t>
      </w:r>
    </w:p>
    <w:p w14:paraId="7E0E3C97">
      <w:pPr>
        <w:widowControl w:val="0"/>
        <w:numPr>
          <w:ilvl w:val="1"/>
          <w:numId w:val="1"/>
        </w:numPr>
        <w:snapToGrid w:val="0"/>
        <w:spacing w:line="560" w:lineRule="exact"/>
        <w:ind w:left="0"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有权根据当地实际情况，策划巡展方案及相关的宣传、教育活动。</w:t>
      </w:r>
    </w:p>
    <w:p w14:paraId="51972E95">
      <w:pPr>
        <w:pStyle w:val="5"/>
        <w:widowControl w:val="0"/>
        <w:numPr>
          <w:ilvl w:val="0"/>
          <w:numId w:val="1"/>
        </w:numPr>
        <w:snapToGrid w:val="0"/>
        <w:spacing w:line="560" w:lineRule="exact"/>
        <w:ind w:left="0" w:firstLine="560" w:firstLineChars="200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协议时效</w:t>
      </w:r>
    </w:p>
    <w:p w14:paraId="1A32980F">
      <w:pPr>
        <w:widowControl w:val="0"/>
        <w:snapToGrid w:val="0"/>
        <w:spacing w:line="56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本协议经双方法定代表人或授权代表签字、盖章之日起生效。</w:t>
      </w:r>
    </w:p>
    <w:p w14:paraId="40B65DB6">
      <w:pPr>
        <w:widowControl w:val="0"/>
        <w:spacing w:line="560" w:lineRule="exact"/>
        <w:ind w:firstLine="560" w:firstLineChars="200"/>
        <w:rPr>
          <w:rFonts w:ascii="仿宋_GB2312" w:hAnsi="宋体" w:eastAsia="仿宋_GB2312" w:cs="仿宋_GB2312"/>
          <w:szCs w:val="28"/>
          <w:lang w:bidi="ar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 xml:space="preserve">本协议正本一式两份，具有同等法律效力，甲、乙双方各持一份。 </w:t>
      </w:r>
    </w:p>
    <w:p w14:paraId="5A24AAAF">
      <w:pPr>
        <w:widowControl w:val="0"/>
        <w:spacing w:line="560" w:lineRule="exact"/>
        <w:ind w:firstLine="560" w:firstLineChars="200"/>
        <w:rPr>
          <w:rFonts w:hint="eastAsia" w:ascii="仿宋_GB2312" w:hAnsi="宋体" w:eastAsia="仿宋_GB2312" w:cs="仿宋_GB2312"/>
          <w:szCs w:val="28"/>
          <w:lang w:bidi="ar"/>
        </w:rPr>
      </w:pPr>
    </w:p>
    <w:p w14:paraId="281EFCD1">
      <w:pPr>
        <w:widowControl w:val="0"/>
        <w:spacing w:line="560" w:lineRule="exact"/>
        <w:ind w:firstLine="560" w:firstLineChars="200"/>
        <w:rPr>
          <w:rFonts w:hint="eastAsia" w:ascii="仿宋_GB2312" w:hAnsi="宋体" w:eastAsia="仿宋_GB2312" w:cs="仿宋_GB2312"/>
          <w:szCs w:val="28"/>
          <w:lang w:bidi="ar"/>
        </w:rPr>
      </w:pPr>
    </w:p>
    <w:p w14:paraId="6F90D4BF">
      <w:pPr>
        <w:widowControl w:val="0"/>
        <w:spacing w:line="560" w:lineRule="exact"/>
        <w:ind w:firstLine="560" w:firstLineChars="200"/>
        <w:rPr>
          <w:rFonts w:hint="eastAsia" w:ascii="仿宋_GB2312" w:hAnsi="宋体" w:eastAsia="仿宋_GB2312" w:cs="仿宋_GB2312"/>
          <w:szCs w:val="28"/>
          <w:lang w:bidi="ar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（以下无正文）</w:t>
      </w:r>
    </w:p>
    <w:p w14:paraId="2C3969D3">
      <w:pPr>
        <w:widowControl w:val="0"/>
        <w:spacing w:line="56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br w:type="page"/>
      </w:r>
      <w:r>
        <w:rPr>
          <w:rFonts w:hint="eastAsia" w:ascii="仿宋_GB2312" w:hAnsi="宋体" w:eastAsia="仿宋_GB2312" w:cs="仿宋_GB2312"/>
          <w:szCs w:val="28"/>
          <w:lang w:bidi="ar"/>
        </w:rPr>
        <w:t>（本页无正文，为《中国流动科技馆常规巡展工作协议》的签字页）</w:t>
      </w:r>
    </w:p>
    <w:p w14:paraId="19B20AD5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甲    方：中国科学技术馆（公章）</w:t>
      </w:r>
    </w:p>
    <w:p w14:paraId="3B74D9AE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法定代表人：</w:t>
      </w:r>
    </w:p>
    <w:p w14:paraId="382AD42D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授权代表：</w:t>
      </w:r>
    </w:p>
    <w:p w14:paraId="1CD9D9B9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  <w:u w:val="single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 xml:space="preserve">日    期： 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szCs w:val="28"/>
          <w:lang w:bidi="ar"/>
        </w:rPr>
        <w:t>年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szCs w:val="28"/>
          <w:lang w:bidi="ar"/>
        </w:rPr>
        <w:t>月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szCs w:val="28"/>
          <w:lang w:bidi="ar"/>
        </w:rPr>
        <w:t>日</w:t>
      </w:r>
    </w:p>
    <w:p w14:paraId="758CD25D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地    址：北京市朝阳区北辰东路5号</w:t>
      </w:r>
    </w:p>
    <w:p w14:paraId="79179BD9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邮政编码：100012</w:t>
      </w:r>
    </w:p>
    <w:p w14:paraId="28DE3303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电 　 话：</w:t>
      </w:r>
    </w:p>
    <w:p w14:paraId="163D5F3B">
      <w:pPr>
        <w:widowControl w:val="0"/>
        <w:spacing w:line="580" w:lineRule="exact"/>
        <w:ind w:firstLine="330" w:firstLineChars="118"/>
        <w:rPr>
          <w:rFonts w:hint="eastAsia" w:ascii="仿宋_GB2312" w:hAnsi="宋体" w:eastAsia="仿宋_GB2312" w:cs="仿宋_GB2312"/>
          <w:szCs w:val="28"/>
        </w:rPr>
      </w:pPr>
    </w:p>
    <w:p w14:paraId="32FDF299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乙    方：               （公章）</w:t>
      </w:r>
    </w:p>
    <w:p w14:paraId="3950D677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法定代表人：</w:t>
      </w:r>
    </w:p>
    <w:p w14:paraId="41CAD637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授权代表：</w:t>
      </w:r>
    </w:p>
    <w:p w14:paraId="574559BC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 xml:space="preserve">日    期： 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szCs w:val="28"/>
          <w:lang w:bidi="ar"/>
        </w:rPr>
        <w:t>年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szCs w:val="28"/>
          <w:lang w:bidi="ar"/>
        </w:rPr>
        <w:t>月</w:t>
      </w:r>
      <w:r>
        <w:rPr>
          <w:rFonts w:hint="eastAsia" w:ascii="仿宋_GB2312" w:hAnsi="宋体" w:eastAsia="仿宋_GB2312" w:cs="仿宋_GB2312"/>
          <w:szCs w:val="28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szCs w:val="28"/>
          <w:lang w:bidi="ar"/>
        </w:rPr>
        <w:t>日</w:t>
      </w:r>
    </w:p>
    <w:p w14:paraId="06BD5186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地    址：</w:t>
      </w:r>
    </w:p>
    <w:p w14:paraId="6C31B931">
      <w:pPr>
        <w:widowControl w:val="0"/>
        <w:spacing w:line="580" w:lineRule="exact"/>
        <w:ind w:firstLine="560" w:firstLineChars="200"/>
        <w:rPr>
          <w:rFonts w:hint="eastAsia" w:ascii="仿宋_GB2312" w:hAnsi="宋体" w:eastAsia="仿宋_GB2312" w:cs="仿宋_GB2312"/>
          <w:szCs w:val="28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邮政编码：</w:t>
      </w:r>
    </w:p>
    <w:p w14:paraId="28EAC375">
      <w:pPr>
        <w:widowControl w:val="0"/>
        <w:ind w:firstLine="560" w:firstLineChars="200"/>
        <w:rPr>
          <w:szCs w:val="30"/>
        </w:rPr>
      </w:pPr>
      <w:r>
        <w:rPr>
          <w:rFonts w:hint="eastAsia" w:ascii="仿宋_GB2312" w:hAnsi="宋体" w:eastAsia="仿宋_GB2312" w:cs="仿宋_GB2312"/>
          <w:szCs w:val="28"/>
          <w:lang w:bidi="ar"/>
        </w:rPr>
        <w:t>电    话：</w:t>
      </w:r>
      <w:r>
        <w:rPr>
          <w:rFonts w:eastAsia="仿宋_GB2312" w:cs="黑体"/>
          <w:sz w:val="32"/>
          <w:szCs w:val="30"/>
          <w:lang w:bidi="ar"/>
        </w:rPr>
        <w:t xml:space="preserve"> </w:t>
      </w:r>
    </w:p>
    <w:p w14:paraId="0BDE7C18">
      <w:pPr>
        <w:widowControl w:val="0"/>
        <w:tabs>
          <w:tab w:val="right" w:pos="9720"/>
        </w:tabs>
        <w:spacing w:line="500" w:lineRule="exact"/>
        <w:ind w:right="280" w:rightChars="100"/>
        <w:textAlignment w:val="bottom"/>
        <w:rPr>
          <w:rFonts w:hint="eastAsia" w:ascii="仿宋_GB2312" w:hAnsi="Garamond" w:eastAsia="仿宋_GB2312"/>
          <w:szCs w:val="28"/>
        </w:rPr>
      </w:pPr>
      <w:bookmarkStart w:id="0" w:name="_GoBack"/>
      <w:bookmarkEnd w:id="0"/>
    </w:p>
    <w:sectPr>
      <w:footerReference r:id="rId4" w:type="default"/>
      <w:headerReference r:id="rId3" w:type="even"/>
      <w:footerReference r:id="rId5" w:type="even"/>
      <w:pgSz w:w="11907" w:h="16840"/>
      <w:pgMar w:top="1701" w:right="1474" w:bottom="992" w:left="1588" w:header="0" w:footer="1644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753F2">
    <w:pPr>
      <w:pStyle w:val="10"/>
      <w:framePr w:wrap="around" w:vAnchor="text" w:hAnchor="margin" w:xAlign="outside" w:y="1"/>
      <w:rPr>
        <w:rStyle w:val="18"/>
        <w:rFonts w:ascii="Times New Roman" w:hAnsi="Times New Roman"/>
        <w:szCs w:val="28"/>
      </w:rPr>
    </w:pPr>
    <w:r>
      <w:rPr>
        <w:rStyle w:val="18"/>
        <w:rFonts w:ascii="Times New Roman" w:hAnsi="Times New Roman"/>
        <w:szCs w:val="28"/>
      </w:rPr>
      <w:t xml:space="preserve">— </w:t>
    </w:r>
    <w:r>
      <w:rPr>
        <w:rFonts w:ascii="Times New Roman" w:hAnsi="Times New Roman"/>
        <w:szCs w:val="28"/>
      </w:rPr>
      <w:fldChar w:fldCharType="begin"/>
    </w:r>
    <w:r>
      <w:rPr>
        <w:rStyle w:val="18"/>
        <w:rFonts w:ascii="Times New Roman" w:hAnsi="Times New Roman"/>
        <w:szCs w:val="28"/>
      </w:rPr>
      <w:instrText xml:space="preserve">PAGE  </w:instrText>
    </w:r>
    <w:r>
      <w:rPr>
        <w:rFonts w:ascii="Times New Roman" w:hAnsi="Times New Roman"/>
        <w:szCs w:val="28"/>
      </w:rPr>
      <w:fldChar w:fldCharType="separate"/>
    </w:r>
    <w:r>
      <w:rPr>
        <w:rStyle w:val="18"/>
        <w:rFonts w:ascii="Times New Roman" w:hAnsi="Times New Roman"/>
        <w:szCs w:val="28"/>
      </w:rPr>
      <w:t>23</w:t>
    </w:r>
    <w:r>
      <w:rPr>
        <w:rFonts w:ascii="Times New Roman" w:hAnsi="Times New Roman"/>
        <w:szCs w:val="28"/>
      </w:rPr>
      <w:fldChar w:fldCharType="end"/>
    </w:r>
    <w:r>
      <w:rPr>
        <w:rStyle w:val="18"/>
        <w:rFonts w:ascii="Times New Roman" w:hAnsi="Times New Roman"/>
        <w:szCs w:val="28"/>
      </w:rPr>
      <w:t xml:space="preserve"> —</w:t>
    </w:r>
  </w:p>
  <w:p w14:paraId="34DE1CFD">
    <w:pPr>
      <w:pStyle w:val="10"/>
      <w:ind w:right="360"/>
      <w:rPr>
        <w:rFonts w:ascii="Times New Roman" w:hAnsi="Times New Roman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3B827">
    <w:pPr>
      <w:pStyle w:val="10"/>
      <w:framePr w:wrap="around" w:vAnchor="text" w:hAnchor="margin" w:xAlign="outside" w:y="1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fldChar w:fldCharType="end"/>
    </w:r>
  </w:p>
  <w:p w14:paraId="50CF40A7"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12BE6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847601"/>
    <w:multiLevelType w:val="multilevel"/>
    <w:tmpl w:val="F9847601"/>
    <w:lvl w:ilvl="0" w:tentative="0">
      <w:start w:val="1"/>
      <w:numFmt w:val="chineseCountingThousand"/>
      <w:suff w:val="nothing"/>
      <w:lvlText w:val="%1、"/>
      <w:lvlJc w:val="left"/>
      <w:pPr>
        <w:ind w:left="1106" w:hanging="680"/>
      </w:pPr>
      <w:rPr>
        <w:rFonts w:hint="eastAsia" w:ascii="Times New Roman" w:hAnsi="Times New Roman" w:eastAsia="黑体" w:cs="黑体"/>
        <w:b w:val="0"/>
      </w:rPr>
    </w:lvl>
    <w:lvl w:ilvl="1" w:tentative="0">
      <w:start w:val="1"/>
      <w:numFmt w:val="decimal"/>
      <w:suff w:val="nothing"/>
      <w:lvlText w:val="%2."/>
      <w:lvlJc w:val="left"/>
      <w:pPr>
        <w:ind w:left="964" w:hanging="510"/>
      </w:pPr>
    </w:lvl>
    <w:lvl w:ilvl="2" w:tentative="0">
      <w:start w:val="1"/>
      <w:numFmt w:val="decimal"/>
      <w:lvlText w:val="%3."/>
      <w:lvlJc w:val="left"/>
      <w:pPr>
        <w:tabs>
          <w:tab w:val="left" w:pos="964"/>
        </w:tabs>
        <w:ind w:left="964" w:hanging="510"/>
      </w:pPr>
    </w:lvl>
    <w:lvl w:ilvl="3" w:tentative="0">
      <w:start w:val="1"/>
      <w:numFmt w:val="decimal"/>
      <w:lvlText w:val="%4."/>
      <w:lvlJc w:val="left"/>
      <w:pPr>
        <w:tabs>
          <w:tab w:val="left" w:pos="2099"/>
        </w:tabs>
        <w:ind w:left="209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19"/>
        </w:tabs>
        <w:ind w:left="251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39"/>
        </w:tabs>
        <w:ind w:left="2939" w:hanging="420"/>
      </w:pPr>
    </w:lvl>
    <w:lvl w:ilvl="6" w:tentative="0">
      <w:start w:val="1"/>
      <w:numFmt w:val="decimal"/>
      <w:lvlText w:val="%7."/>
      <w:lvlJc w:val="left"/>
      <w:pPr>
        <w:tabs>
          <w:tab w:val="left" w:pos="3359"/>
        </w:tabs>
        <w:ind w:left="335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79"/>
        </w:tabs>
        <w:ind w:left="377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99"/>
        </w:tabs>
        <w:ind w:left="4199" w:hanging="420"/>
      </w:pPr>
    </w:lvl>
  </w:abstractNum>
  <w:abstractNum w:abstractNumId="1">
    <w:nsid w:val="023B1E45"/>
    <w:multiLevelType w:val="multilevel"/>
    <w:tmpl w:val="023B1E45"/>
    <w:lvl w:ilvl="0" w:tentative="0">
      <w:start w:val="1"/>
      <w:numFmt w:val="decimal"/>
      <w:suff w:val="nothing"/>
      <w:lvlText w:val="%1."/>
      <w:lvlJc w:val="left"/>
      <w:pPr>
        <w:ind w:left="936" w:hanging="510"/>
      </w:pPr>
    </w:lvl>
    <w:lvl w:ilvl="1" w:tentative="0">
      <w:start w:val="1"/>
      <w:numFmt w:val="japaneseCounting"/>
      <w:lvlText w:val="%2、"/>
      <w:lvlJc w:val="left"/>
      <w:pPr>
        <w:ind w:left="1620" w:hanging="720"/>
      </w:pPr>
    </w:lvl>
    <w:lvl w:ilvl="2" w:tentative="0">
      <w:start w:val="1"/>
      <w:numFmt w:val="japaneseCounting"/>
      <w:lvlText w:val="（%3）"/>
      <w:lvlJc w:val="left"/>
      <w:pPr>
        <w:ind w:left="2400" w:hanging="1080"/>
      </w:pPr>
    </w:lvl>
    <w:lvl w:ilvl="3" w:tentative="0">
      <w:start w:val="1"/>
      <w:numFmt w:val="decimal"/>
      <w:suff w:val="nothing"/>
      <w:lvlText w:val="%4."/>
      <w:lvlJc w:val="left"/>
      <w:pPr>
        <w:ind w:left="964" w:hanging="51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2">
    <w:nsid w:val="5C0B137F"/>
    <w:multiLevelType w:val="multilevel"/>
    <w:tmpl w:val="5C0B137F"/>
    <w:lvl w:ilvl="0" w:tentative="0">
      <w:start w:val="1"/>
      <w:numFmt w:val="decimal"/>
      <w:suff w:val="nothing"/>
      <w:lvlText w:val="%1."/>
      <w:lvlJc w:val="left"/>
      <w:pPr>
        <w:ind w:left="936" w:hanging="510"/>
      </w:pPr>
    </w:lvl>
    <w:lvl w:ilvl="1" w:tentative="0">
      <w:start w:val="1"/>
      <w:numFmt w:val="japaneseCounting"/>
      <w:lvlText w:val="%2、"/>
      <w:lvlJc w:val="left"/>
      <w:pPr>
        <w:ind w:left="1620" w:hanging="720"/>
      </w:pPr>
    </w:lvl>
    <w:lvl w:ilvl="2" w:tentative="0">
      <w:start w:val="1"/>
      <w:numFmt w:val="japaneseCounting"/>
      <w:lvlText w:val="（%3）"/>
      <w:lvlJc w:val="left"/>
      <w:pPr>
        <w:ind w:left="2400" w:hanging="1080"/>
      </w:pPr>
    </w:lvl>
    <w:lvl w:ilvl="3" w:tentative="0">
      <w:start w:val="1"/>
      <w:numFmt w:val="decimal"/>
      <w:suff w:val="nothing"/>
      <w:lvlText w:val="%4."/>
      <w:lvlJc w:val="left"/>
      <w:pPr>
        <w:ind w:left="964" w:hanging="51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6"/>
  <w:drawingGridVerticalSpacing w:val="190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D64"/>
    <w:rsid w:val="00041653"/>
    <w:rsid w:val="000871EE"/>
    <w:rsid w:val="001B7EF0"/>
    <w:rsid w:val="002F1F6A"/>
    <w:rsid w:val="00302270"/>
    <w:rsid w:val="00342FDD"/>
    <w:rsid w:val="00404762"/>
    <w:rsid w:val="004F37B5"/>
    <w:rsid w:val="00534452"/>
    <w:rsid w:val="0062292A"/>
    <w:rsid w:val="00713187"/>
    <w:rsid w:val="008730E0"/>
    <w:rsid w:val="008E4E0A"/>
    <w:rsid w:val="008E56D1"/>
    <w:rsid w:val="00AE31BC"/>
    <w:rsid w:val="00B027BD"/>
    <w:rsid w:val="00B73E45"/>
    <w:rsid w:val="00C33574"/>
    <w:rsid w:val="00C46965"/>
    <w:rsid w:val="00D264F7"/>
    <w:rsid w:val="00DC5EC7"/>
    <w:rsid w:val="00DD5D01"/>
    <w:rsid w:val="00E85BC8"/>
    <w:rsid w:val="00EC56CE"/>
    <w:rsid w:val="17B80B79"/>
    <w:rsid w:val="2ABF734B"/>
    <w:rsid w:val="383FDDF0"/>
    <w:rsid w:val="3F5FDC5D"/>
    <w:rsid w:val="3FEDF286"/>
    <w:rsid w:val="448C14D5"/>
    <w:rsid w:val="571FB2D3"/>
    <w:rsid w:val="5AB78767"/>
    <w:rsid w:val="5B746998"/>
    <w:rsid w:val="5BFC4FDF"/>
    <w:rsid w:val="5E37782F"/>
    <w:rsid w:val="62D879CD"/>
    <w:rsid w:val="65F27EF6"/>
    <w:rsid w:val="6D9F2BEC"/>
    <w:rsid w:val="75FF1163"/>
    <w:rsid w:val="76FF5C1A"/>
    <w:rsid w:val="77DED859"/>
    <w:rsid w:val="7B7BCB5B"/>
    <w:rsid w:val="7BBF1891"/>
    <w:rsid w:val="7BD57BEF"/>
    <w:rsid w:val="7FF7DE9B"/>
    <w:rsid w:val="993A6E57"/>
    <w:rsid w:val="9CFF4782"/>
    <w:rsid w:val="AFFCA445"/>
    <w:rsid w:val="B8F36F21"/>
    <w:rsid w:val="BCBFF3CC"/>
    <w:rsid w:val="BCF78450"/>
    <w:rsid w:val="BFFFB113"/>
    <w:rsid w:val="CDE397C7"/>
    <w:rsid w:val="CFFB3C97"/>
    <w:rsid w:val="D5B7A5E3"/>
    <w:rsid w:val="D9CFDE0F"/>
    <w:rsid w:val="DFEFDB88"/>
    <w:rsid w:val="E9EF449F"/>
    <w:rsid w:val="ECBB2693"/>
    <w:rsid w:val="EF2F6D76"/>
    <w:rsid w:val="F9FDBF93"/>
    <w:rsid w:val="F9FF2B54"/>
    <w:rsid w:val="F9FFB407"/>
    <w:rsid w:val="FCFF5485"/>
    <w:rsid w:val="FDB78467"/>
    <w:rsid w:val="FDDA3F96"/>
    <w:rsid w:val="FF39E9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nhideWhenUsed="0" w:uiPriority="0" w:semiHidden="0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eastAsia="宋体" w:cs="Times New Roman"/>
      <w:sz w:val="28"/>
      <w:lang w:val="en-US" w:eastAsia="zh-CN" w:bidi="ar-SA"/>
    </w:rPr>
  </w:style>
  <w:style w:type="character" w:default="1" w:styleId="16">
    <w:name w:val="Default Paragraph Font"/>
    <w:uiPriority w:val="0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eastAsia="宋体" w:cs="Times New Roman"/>
      <w:lang w:val="en-US" w:eastAsia="zh-CN" w:bidi="ar-SA"/>
    </w:rPr>
  </w:style>
  <w:style w:type="paragraph" w:styleId="3">
    <w:name w:val="annotation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left"/>
    </w:pPr>
    <w:rPr>
      <w:rFonts w:hint="default" w:ascii="Calibri" w:hAnsi="Calibri" w:eastAsia="仿宋_GB2312" w:cs="Times New Roman"/>
      <w:color w:val="auto"/>
      <w:kern w:val="2"/>
      <w:sz w:val="32"/>
      <w:szCs w:val="22"/>
      <w:lang w:val="en-US" w:eastAsia="zh-CN" w:bidi="ar"/>
    </w:rPr>
  </w:style>
  <w:style w:type="paragraph" w:styleId="4">
    <w:name w:val="Body Text"/>
    <w:basedOn w:val="1"/>
    <w:qFormat/>
    <w:uiPriority w:val="0"/>
    <w:pPr>
      <w:spacing w:before="1200" w:beforeLines="0" w:line="20" w:lineRule="exact"/>
    </w:pPr>
    <w:rPr>
      <w:rFonts w:ascii="仿宋_GB2312" w:eastAsia="仿宋_GB2312"/>
      <w:sz w:val="30"/>
    </w:rPr>
  </w:style>
  <w:style w:type="paragraph" w:styleId="5">
    <w:name w:val="Body Text Indent"/>
    <w:basedOn w:val="1"/>
    <w:uiPriority w:val="0"/>
    <w:pPr>
      <w:ind w:firstLine="555"/>
    </w:pPr>
    <w:rPr>
      <w:rFonts w:ascii="仿宋_GB2312" w:eastAsia="仿宋_GB2312"/>
      <w:sz w:val="32"/>
    </w:rPr>
  </w:style>
  <w:style w:type="paragraph" w:styleId="6">
    <w:name w:val="List 2"/>
    <w:basedOn w:val="1"/>
    <w:qFormat/>
    <w:uiPriority w:val="0"/>
    <w:pPr>
      <w:keepNext w:val="0"/>
      <w:keepLines w:val="0"/>
      <w:widowControl w:val="0"/>
      <w:suppressLineNumbers w:val="0"/>
      <w:adjustRightInd w:val="0"/>
      <w:spacing w:before="0" w:beforeAutospacing="0" w:after="0" w:afterAutospacing="0" w:line="312" w:lineRule="atLeast"/>
      <w:ind w:left="840" w:right="0" w:hanging="420"/>
      <w:jc w:val="both"/>
    </w:pPr>
    <w:rPr>
      <w:rFonts w:hint="default" w:ascii="Times New Roman" w:hAnsi="Times New Roman" w:eastAsia="仿宋_GB2312" w:cs="Times New Roman"/>
      <w:color w:val="auto"/>
      <w:kern w:val="0"/>
      <w:sz w:val="32"/>
      <w:szCs w:val="20"/>
      <w:lang w:val="en-US" w:eastAsia="zh-CN" w:bidi="ar"/>
    </w:rPr>
  </w:style>
  <w:style w:type="paragraph" w:styleId="7">
    <w:name w:val="Date"/>
    <w:basedOn w:val="1"/>
    <w:next w:val="1"/>
    <w:uiPriority w:val="0"/>
    <w:pPr>
      <w:ind w:left="100" w:leftChars="2500"/>
    </w:pPr>
    <w:rPr>
      <w:rFonts w:ascii="仿宋_GB2312" w:eastAsia="仿宋_GB2312"/>
      <w:sz w:val="30"/>
    </w:rPr>
  </w:style>
  <w:style w:type="paragraph" w:styleId="8">
    <w:name w:val="Body Text Indent 2"/>
    <w:basedOn w:val="1"/>
    <w:uiPriority w:val="0"/>
    <w:pPr>
      <w:spacing w:line="560" w:lineRule="exact"/>
      <w:ind w:firstLine="630" w:firstLineChars="210"/>
      <w:textAlignment w:val="bottom"/>
    </w:pPr>
    <w:rPr>
      <w:rFonts w:eastAsia="仿宋_GB2312"/>
      <w:sz w:val="30"/>
    </w:rPr>
  </w:style>
  <w:style w:type="paragraph" w:styleId="9">
    <w:name w:val="Balloon Text"/>
    <w:basedOn w:val="1"/>
    <w:link w:val="20"/>
    <w:qFormat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</w:pPr>
  </w:style>
  <w:style w:type="paragraph" w:styleId="11">
    <w:name w:val="head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12">
    <w:name w:val="Body Text Indent 3"/>
    <w:basedOn w:val="1"/>
    <w:uiPriority w:val="0"/>
    <w:pPr>
      <w:spacing w:line="580" w:lineRule="exact"/>
      <w:ind w:firstLine="600" w:firstLineChars="200"/>
    </w:pPr>
    <w:rPr>
      <w:rFonts w:ascii="仿宋_GB2312" w:eastAsia="仿宋_GB2312"/>
      <w:sz w:val="30"/>
    </w:rPr>
  </w:style>
  <w:style w:type="paragraph" w:styleId="13">
    <w:name w:val="Normal (Web)"/>
    <w:basedOn w:val="1"/>
    <w:qFormat/>
    <w:uiPriority w:val="0"/>
    <w:pPr>
      <w:overflowPunct/>
      <w:autoSpaceDE/>
      <w:autoSpaceDN/>
      <w:adjustRightInd/>
      <w:spacing w:before="100" w:beforeLines="0" w:beforeAutospacing="1" w:after="100" w:afterLines="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table" w:styleId="15">
    <w:name w:val="Table Grid"/>
    <w:basedOn w:val="1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page number"/>
    <w:uiPriority w:val="0"/>
  </w:style>
  <w:style w:type="character" w:styleId="19">
    <w:name w:val="Hyperlink"/>
    <w:qFormat/>
    <w:uiPriority w:val="0"/>
    <w:rPr>
      <w:color w:val="0000FF"/>
      <w:u w:val="single"/>
    </w:rPr>
  </w:style>
  <w:style w:type="character" w:customStyle="1" w:styleId="20">
    <w:name w:val="批注框文本 Char"/>
    <w:link w:val="9"/>
    <w:qFormat/>
    <w:uiPriority w:val="0"/>
    <w:rPr>
      <w:sz w:val="18"/>
      <w:szCs w:val="18"/>
    </w:rPr>
  </w:style>
  <w:style w:type="character" w:customStyle="1" w:styleId="21">
    <w:name w:val="页脚 Char"/>
    <w:link w:val="10"/>
    <w:qFormat/>
    <w:uiPriority w:val="0"/>
  </w:style>
  <w:style w:type="paragraph" w:customStyle="1" w:styleId="22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仿宋_GB2312" w:cs="黑体"/>
      <w:color w:val="auto"/>
      <w:kern w:val="2"/>
      <w:sz w:val="32"/>
      <w:szCs w:val="22"/>
      <w:lang w:val="en-US" w:eastAsia="zh-CN" w:bidi="ar"/>
    </w:rPr>
  </w:style>
  <w:style w:type="paragraph" w:customStyle="1" w:styleId="23">
    <w:name w:val="列出段落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仿宋_GB2312" w:cs="Times New Roman"/>
      <w:color w:val="auto"/>
      <w:kern w:val="2"/>
      <w:sz w:val="3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4143</Words>
  <Characters>4254</Characters>
  <Lines>72</Lines>
  <Paragraphs>20</Paragraphs>
  <TotalTime>1</TotalTime>
  <ScaleCrop>false</ScaleCrop>
  <LinksUpToDate>false</LinksUpToDate>
  <CharactersWithSpaces>5512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2024-12-05T02:41:00Z</dcterms:created>
  <dc:creator>内网自动化</dc:creator>
  <cp:lastModifiedBy>Miss.Hamster</cp:lastModifiedBy>
  <dcterms:modified xsi:type="dcterms:W3CDTF">2024-12-10T02:37:34Z</dcterms:modified>
  <dc:title>中国科协办公厅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3072D157519846ECAB1AB2D3678933FC_13</vt:lpwstr>
  </property>
</Properties>
</file>