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E201F">
      <w:pPr>
        <w:pStyle w:val="2"/>
        <w:keepNext w:val="0"/>
        <w:keepLines w:val="0"/>
        <w:widowControl/>
        <w:suppressLineNumbers w:val="0"/>
        <w:autoSpaceDE w:val="0"/>
        <w:autoSpaceDN/>
        <w:spacing w:line="580" w:lineRule="exact"/>
        <w:ind w:left="0" w:right="0"/>
        <w:jc w:val="center"/>
        <w:rPr>
          <w:rFonts w:hint="default" w:ascii="方正小标宋简体" w:hAnsi="方正小标宋简体" w:eastAsia="方正小标宋简体" w:cs="方正小标宋简体"/>
          <w:color w:val="000000"/>
          <w:kern w:val="0"/>
          <w:sz w:val="44"/>
          <w:szCs w:val="44"/>
        </w:rPr>
      </w:pPr>
      <w:r>
        <w:rPr>
          <w:rFonts w:hint="default" w:ascii="方正小标宋简体" w:hAnsi="方正小标宋简体" w:eastAsia="方正小标宋简体" w:cs="方正小标宋简体"/>
          <w:color w:val="000000"/>
          <w:kern w:val="0"/>
          <w:sz w:val="44"/>
          <w:szCs w:val="44"/>
        </w:rPr>
        <w:t>2025年度北京市科协决策咨询</w:t>
      </w:r>
      <w:bookmarkStart w:id="0" w:name="_GoBack"/>
      <w:bookmarkEnd w:id="0"/>
      <w:r>
        <w:rPr>
          <w:rFonts w:hint="default" w:ascii="方正小标宋简体" w:hAnsi="方正小标宋简体" w:eastAsia="方正小标宋简体" w:cs="方正小标宋简体"/>
          <w:color w:val="000000"/>
          <w:kern w:val="0"/>
          <w:sz w:val="44"/>
          <w:szCs w:val="44"/>
        </w:rPr>
        <w:t>研究课题</w:t>
      </w:r>
    </w:p>
    <w:p w14:paraId="7463F07A">
      <w:pPr>
        <w:pStyle w:val="2"/>
        <w:keepNext w:val="0"/>
        <w:keepLines w:val="0"/>
        <w:widowControl/>
        <w:suppressLineNumbers w:val="0"/>
        <w:autoSpaceDE w:val="0"/>
        <w:autoSpaceDN/>
        <w:spacing w:line="580" w:lineRule="exact"/>
        <w:ind w:left="0" w:right="0"/>
        <w:jc w:val="center"/>
        <w:rPr>
          <w:rFonts w:hint="default" w:ascii="方正小标宋简体" w:hAnsi="方正小标宋简体" w:eastAsia="方正小标宋简体" w:cs="方正小标宋简体"/>
          <w:color w:val="000000"/>
          <w:kern w:val="0"/>
          <w:sz w:val="44"/>
          <w:szCs w:val="44"/>
        </w:rPr>
      </w:pPr>
      <w:r>
        <w:rPr>
          <w:rFonts w:hint="default" w:ascii="方正小标宋简体" w:hAnsi="方正小标宋简体" w:eastAsia="方正小标宋简体" w:cs="方正小标宋简体"/>
          <w:color w:val="000000"/>
          <w:kern w:val="0"/>
          <w:sz w:val="44"/>
          <w:szCs w:val="44"/>
        </w:rPr>
        <w:t>申报目录</w:t>
      </w:r>
    </w:p>
    <w:p w14:paraId="2B9DD55C">
      <w:pPr>
        <w:keepNext w:val="0"/>
        <w:keepLines w:val="0"/>
        <w:widowControl w:val="0"/>
        <w:suppressLineNumbers w:val="0"/>
        <w:autoSpaceDE w:val="0"/>
        <w:autoSpaceDN/>
        <w:spacing w:before="0" w:beforeAutospacing="0" w:after="0" w:afterAutospacing="0" w:line="580" w:lineRule="exact"/>
        <w:ind w:left="0" w:right="0"/>
        <w:jc w:val="center"/>
        <w:rPr>
          <w:rFonts w:hint="eastAsia" w:ascii="黑体" w:hAnsi="宋体" w:eastAsia="黑体" w:cs="Times New Roman"/>
          <w:kern w:val="2"/>
          <w:sz w:val="28"/>
          <w:szCs w:val="28"/>
        </w:rPr>
      </w:pPr>
      <w:r>
        <w:rPr>
          <w:rFonts w:hint="eastAsia" w:ascii="黑体" w:hAnsi="宋体" w:eastAsia="黑体" w:cs="Times New Roman"/>
          <w:kern w:val="2"/>
          <w:sz w:val="28"/>
          <w:szCs w:val="28"/>
          <w:lang w:val="en-US" w:eastAsia="zh-CN" w:bidi="ar"/>
        </w:rPr>
        <w:t xml:space="preserve"> </w:t>
      </w:r>
    </w:p>
    <w:p w14:paraId="6DBBF642">
      <w:pPr>
        <w:keepNext w:val="0"/>
        <w:keepLines w:val="0"/>
        <w:widowControl w:val="0"/>
        <w:suppressLineNumbers w:val="0"/>
        <w:autoSpaceDE w:val="0"/>
        <w:autoSpaceDN/>
        <w:spacing w:before="0" w:beforeAutospacing="0" w:after="0" w:afterAutospacing="0" w:line="580" w:lineRule="exact"/>
        <w:ind w:left="0" w:right="0"/>
        <w:jc w:val="both"/>
        <w:rPr>
          <w:rFonts w:hint="eastAsia" w:ascii="黑体" w:hAnsi="宋体" w:eastAsia="黑体" w:cs="Times New Roman"/>
          <w:kern w:val="2"/>
          <w:sz w:val="32"/>
          <w:szCs w:val="32"/>
        </w:rPr>
      </w:pPr>
      <w:r>
        <w:rPr>
          <w:rFonts w:hint="eastAsia" w:ascii="黑体" w:hAnsi="宋体" w:eastAsia="黑体" w:cs="Times New Roman"/>
          <w:kern w:val="2"/>
          <w:sz w:val="32"/>
          <w:szCs w:val="32"/>
          <w:lang w:val="en-US" w:eastAsia="zh-CN" w:bidi="ar"/>
        </w:rPr>
        <w:t xml:space="preserve">    </w:t>
      </w:r>
      <w:r>
        <w:rPr>
          <w:rFonts w:hint="eastAsia" w:ascii="黑体" w:hAnsi="宋体" w:eastAsia="黑体" w:cs="黑体"/>
          <w:kern w:val="2"/>
          <w:sz w:val="32"/>
          <w:szCs w:val="32"/>
          <w:lang w:val="en-US" w:eastAsia="zh-CN" w:bidi="ar"/>
        </w:rPr>
        <w:t>一、重大研究课题</w:t>
      </w:r>
    </w:p>
    <w:p w14:paraId="73E50AE4">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eastAsia" w:ascii="黑体" w:hAnsi="宋体" w:eastAsia="黑体" w:cs="黑体"/>
          <w:kern w:val="2"/>
          <w:sz w:val="32"/>
          <w:szCs w:val="32"/>
          <w:lang w:val="en-US" w:eastAsia="zh-CN" w:bidi="ar"/>
        </w:rPr>
        <w:t>1.北京科技工作者思想状况调查</w:t>
      </w:r>
      <w:r>
        <w:rPr>
          <w:rFonts w:hint="default" w:ascii="仿宋_GB2312" w:hAnsi="Calibri" w:eastAsia="仿宋_GB2312" w:cs="仿宋_GB2312"/>
          <w:kern w:val="2"/>
          <w:sz w:val="32"/>
          <w:szCs w:val="32"/>
          <w:lang w:val="en-US" w:eastAsia="zh-CN" w:bidi="ar"/>
        </w:rPr>
        <w:t xml:space="preserve"> </w:t>
      </w:r>
    </w:p>
    <w:p w14:paraId="7098C22A">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20万</w:t>
      </w:r>
    </w:p>
    <w:p w14:paraId="749A6A90">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科技工作者是科技自立自强的主力军。随着新一轮科技革命和科研方式的变革，科技工作者队伍发生了很大变化。通过调查，了解北京科技工作者在新阶段的思想动态和社会心态，了解他们的科技自信，以及对社会经济发展形势以及科技社会热点问题的看法，发现问题，分析原因，并提出有针对性的对策建议，为相关部门制定政策提供决策参考。</w:t>
      </w:r>
      <w:r>
        <w:rPr>
          <w:rFonts w:hint="default" w:ascii="仿宋_GB2312" w:hAnsi="Calibri" w:eastAsia="仿宋_GB2312" w:cs="仿宋_GB2312"/>
          <w:kern w:val="2"/>
          <w:sz w:val="32"/>
          <w:szCs w:val="32"/>
          <w:lang w:val="en-US" w:eastAsia="zh-CN" w:bidi="ar"/>
        </w:rPr>
        <w:tab/>
      </w:r>
    </w:p>
    <w:p w14:paraId="1AD2A3E3">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eastAsia" w:ascii="黑体" w:hAnsi="宋体" w:eastAsia="黑体" w:cs="黑体"/>
          <w:kern w:val="2"/>
          <w:sz w:val="32"/>
          <w:szCs w:val="32"/>
          <w:lang w:val="en-US" w:eastAsia="zh-CN" w:bidi="ar"/>
        </w:rPr>
        <w:t>2.北京博士生及博士后（自然科学和工程技术领域）参与创新情况调研</w:t>
      </w:r>
      <w:r>
        <w:rPr>
          <w:rFonts w:hint="default" w:ascii="仿宋_GB2312" w:hAnsi="Calibri" w:eastAsia="仿宋_GB2312" w:cs="仿宋_GB2312"/>
          <w:kern w:val="2"/>
          <w:sz w:val="32"/>
          <w:szCs w:val="32"/>
          <w:lang w:val="en-US" w:eastAsia="zh-CN" w:bidi="ar"/>
        </w:rPr>
        <w:tab/>
      </w:r>
    </w:p>
    <w:p w14:paraId="735D92B2">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15万</w:t>
      </w:r>
    </w:p>
    <w:p w14:paraId="39661314">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博士生及博士后作为科研和创新的重要后备力量，对于科技进步至关重要。调查了解北京自然科学和工程技术领域博士生及博士后获得各类科技资助、参与科技项目以及职业理想等方面现状，通过问卷调查与深度访谈，了解其面临的困难和压力以及对科研资源、外部环境的满意度和需求，为支持博士生及博士后有效参与创新提供政策建议。</w:t>
      </w:r>
      <w:r>
        <w:rPr>
          <w:rFonts w:hint="default" w:ascii="仿宋_GB2312" w:hAnsi="Calibri" w:eastAsia="仿宋_GB2312" w:cs="仿宋_GB2312"/>
          <w:kern w:val="2"/>
          <w:sz w:val="32"/>
          <w:szCs w:val="32"/>
          <w:lang w:val="en-US" w:eastAsia="zh-CN" w:bidi="ar"/>
        </w:rPr>
        <w:tab/>
      </w:r>
    </w:p>
    <w:p w14:paraId="3314EEDB">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3.北京科技领军企业现状调研</w:t>
      </w:r>
    </w:p>
    <w:p w14:paraId="29678EA1">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15万</w:t>
      </w:r>
    </w:p>
    <w:p w14:paraId="26BC44E4">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科技领军企业是国家战略科技力量的重要组成部分，是促进创新链产业链深度融合的关键。通过调查，了解北京科技领军企业的分布及发展现状，梳理分析科技领军企业在带动中小企业和民营企业融通发展、牵头参与国家重大科技项目以及开展产学研深度合作等方面的问题、成效与挑战，提出进一步支持科技领军企业发挥龙头作用的政策建议。</w:t>
      </w:r>
    </w:p>
    <w:p w14:paraId="6B6C3D01">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4.北京标杆孵化器促进新质生产力发展调研</w:t>
      </w:r>
    </w:p>
    <w:p w14:paraId="39DE2609">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10万</w:t>
      </w:r>
    </w:p>
    <w:p w14:paraId="50199028">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孵化器是支撑高精尖产业发展、培育未来产业促进新质生产力发展的重要力量。通过调查，了解北京现有的科技企业标杆孵化器的运营模式、分布领域、运行成效及盈利模式等，分析研究标杆孵化器在整合和配置创新资源等方面的优势与特点，进行国内外比较研究，总结提出成功经验和模式，为北京支持和推动标杆孵化器发展提出参考建议。</w:t>
      </w:r>
      <w:r>
        <w:rPr>
          <w:rFonts w:hint="default" w:ascii="仿宋_GB2312" w:hAnsi="Calibri" w:eastAsia="仿宋_GB2312" w:cs="仿宋_GB2312"/>
          <w:kern w:val="2"/>
          <w:sz w:val="32"/>
          <w:szCs w:val="32"/>
          <w:lang w:val="en-US" w:eastAsia="zh-CN" w:bidi="ar"/>
        </w:rPr>
        <w:tab/>
      </w:r>
    </w:p>
    <w:p w14:paraId="2008C632">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5.国家实验室推进教育、科技、人才一体化融合发展研究</w:t>
      </w:r>
    </w:p>
    <w:p w14:paraId="7752AEF8">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10万</w:t>
      </w:r>
    </w:p>
    <w:p w14:paraId="1C190895">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国家实验室对推动教育、科技、人才一体化发展进行了积极探索，调查国家实验室在相关方面的主要做法、取得成效，提炼其推进教育、科技、人才一体化发展的经验、模式、规律，找出存在的困难和问题。比较美国、德国等国家实验室的政策措施及制度安排，研究提出提高国家实验室资源整合能力，更好推动教育、科技、人才一体化发展的对策建议。</w:t>
      </w:r>
      <w:r>
        <w:rPr>
          <w:rFonts w:hint="default" w:ascii="仿宋_GB2312" w:hAnsi="Calibri" w:eastAsia="仿宋_GB2312" w:cs="仿宋_GB2312"/>
          <w:kern w:val="2"/>
          <w:sz w:val="32"/>
          <w:szCs w:val="32"/>
          <w:lang w:val="en-US" w:eastAsia="zh-CN" w:bidi="ar"/>
        </w:rPr>
        <w:tab/>
      </w:r>
    </w:p>
    <w:p w14:paraId="6D0F82D2">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6.北京新型基础设施推动韧性城市建设策略研究</w:t>
      </w:r>
    </w:p>
    <w:p w14:paraId="777D680E">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10万</w:t>
      </w:r>
    </w:p>
    <w:p w14:paraId="0DE77BD9">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党和国家出台《关于推进新型城市基础设施建设打造韧性城市的意见》，通过本课题，聚焦5G、物联网、人工智能等新型基础设施的主要领域，调查了解北京新型基础设施建设的总体规模、承载能力及管理体系等，选取重点领域，深入分析新型基础设施对于建设韧性城市的重要性，对比国内外韧性城市建设的成功经验与失败教训，分析提出北京基于新型基础设施，推动韧性城市建设的政策建议。</w:t>
      </w:r>
      <w:r>
        <w:rPr>
          <w:rFonts w:hint="default" w:ascii="仿宋_GB2312" w:hAnsi="Calibri" w:eastAsia="仿宋_GB2312" w:cs="仿宋_GB2312"/>
          <w:kern w:val="2"/>
          <w:sz w:val="32"/>
          <w:szCs w:val="32"/>
          <w:lang w:val="en-US" w:eastAsia="zh-CN" w:bidi="ar"/>
        </w:rPr>
        <w:tab/>
      </w:r>
    </w:p>
    <w:p w14:paraId="31BCCEFC">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7.北京科技型中小企业发展及服务机制研究</w:t>
      </w:r>
    </w:p>
    <w:p w14:paraId="2AEDCDB6">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10万</w:t>
      </w:r>
      <w:r>
        <w:rPr>
          <w:rFonts w:hint="default" w:ascii="仿宋_GB2312" w:hAnsi="Calibri" w:eastAsia="仿宋_GB2312" w:cs="仿宋_GB2312"/>
          <w:kern w:val="2"/>
          <w:sz w:val="32"/>
          <w:szCs w:val="32"/>
          <w:lang w:val="en-US" w:eastAsia="zh-CN" w:bidi="ar"/>
        </w:rPr>
        <w:tab/>
      </w:r>
    </w:p>
    <w:p w14:paraId="1D3AA9DD">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北京科技型中小企业聚集，通过调查，梳理北京科技型中小企业的分布、数量、主要类型，了解制约中小企业科技创新的主要问题及其创新需求，分析问题成因。通过比较研究，评估北京服务中小企业发展的政策及公共平台的实施效果，针对性地提出北京改进提升的参考建议。</w:t>
      </w:r>
    </w:p>
    <w:p w14:paraId="22F32CFA">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8.北京民营企业科技领军人才调研</w:t>
      </w:r>
      <w:r>
        <w:rPr>
          <w:rFonts w:hint="eastAsia" w:ascii="黑体" w:hAnsi="宋体" w:eastAsia="黑体" w:cs="黑体"/>
          <w:kern w:val="2"/>
          <w:sz w:val="32"/>
          <w:szCs w:val="32"/>
          <w:lang w:val="en-US" w:eastAsia="zh-CN" w:bidi="ar"/>
        </w:rPr>
        <w:tab/>
      </w:r>
    </w:p>
    <w:p w14:paraId="4D1EFAA8">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10万</w:t>
      </w:r>
    </w:p>
    <w:p w14:paraId="4C1ED03D">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在厘清民营企业科技领军人才涵盖范围的基础上，调查了解北京民营企业中科技人才尤其是领军型人才的分布、特点、结构等状况，通过问卷、走访等方式，了解民营企业科技人才的创新创业诉求，对比国内外相关城市联系服务民营企业科技人才的经验和做法，提出北京完善民营企业科技领军人才服务机制，支持人才创新创业的参考建议。</w:t>
      </w:r>
      <w:r>
        <w:rPr>
          <w:rFonts w:hint="default" w:ascii="仿宋_GB2312" w:hAnsi="Calibri" w:eastAsia="仿宋_GB2312" w:cs="仿宋_GB2312"/>
          <w:kern w:val="2"/>
          <w:sz w:val="32"/>
          <w:szCs w:val="32"/>
          <w:lang w:val="en-US" w:eastAsia="zh-CN" w:bidi="ar"/>
        </w:rPr>
        <w:tab/>
      </w:r>
    </w:p>
    <w:p w14:paraId="53E26714">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9.北京科幻人才与科幻教育发展调研</w:t>
      </w:r>
    </w:p>
    <w:p w14:paraId="616A07D3">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ab/>
      </w: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10万</w:t>
      </w:r>
    </w:p>
    <w:p w14:paraId="267EA428">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北京在科幻领域具有独特的优势和潜力，调查了解北京科幻作家、研究人员及科幻产业从业者等各类科幻人才的数量、分布、构成，以及大中小学开设科幻类课程、教学模式、师资队伍等的情况。分析北京科幻人才、科幻教育发展面临的主要问题和挑战。从人才培养、教育体系、评价激励、产业发展等方面，对促进北京科幻人才与科幻教育发展提出对策建议。</w:t>
      </w:r>
      <w:r>
        <w:rPr>
          <w:rFonts w:hint="default" w:ascii="仿宋_GB2312" w:hAnsi="Calibri" w:eastAsia="仿宋_GB2312" w:cs="仿宋_GB2312"/>
          <w:kern w:val="2"/>
          <w:sz w:val="32"/>
          <w:szCs w:val="32"/>
          <w:lang w:val="en-US" w:eastAsia="zh-CN" w:bidi="ar"/>
        </w:rPr>
        <w:tab/>
      </w:r>
    </w:p>
    <w:p w14:paraId="7196B8E4">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10.城市科创竞争力比较研究</w:t>
      </w:r>
    </w:p>
    <w:p w14:paraId="77CF2D40">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10万</w:t>
      </w:r>
    </w:p>
    <w:p w14:paraId="70F7A1C1">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科技创新是城市发展的重要驱动力。它不仅能够促进产业升级和新兴产业的培育，还能吸引顶尖企业和人才，增强地区经济活力和竞争力。本研究通过收集整理全国主要城市创新相关数据，比较分析北京与其他重点城市的科技创新状况，结合调研找出北京在科技创新领域的优势和短板，为打造国际科技创新中心提供有价值的建议和策略。</w:t>
      </w:r>
    </w:p>
    <w:p w14:paraId="723EFAFB">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二、重点研究课题</w:t>
      </w:r>
    </w:p>
    <w:p w14:paraId="5DF73573">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1.多元化支持大科学装置开放共享研究</w:t>
      </w:r>
    </w:p>
    <w:p w14:paraId="46F88520">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7D89D4B4">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大科学装置是前沿性、战略性基础研究活动的承载平台，为开展科学研究、技术攻关、人才培养等提供关键支持。调查了解大科学装置运行、管理、利用现状，找出当前大科学装置开放共享存在的制约和问题。调查国内外在支持大科学装置开放共享方面的经验和做法，梳理出大科学装置在推动科学研究、技术攻关、人才培养等方面的成功模式，分析提出推动大科学装置开放共享、发挥其最大潜能的策略建议。</w:t>
      </w:r>
    </w:p>
    <w:p w14:paraId="1DF81AF8">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2.北京市推动行业垂直大模型应用研究</w:t>
      </w:r>
    </w:p>
    <w:p w14:paraId="5A45DABB">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30FD7FD0">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垂直大模型在很多领域具有广泛应用前景，在提供高质量解决方案等方面具有独特优势。北京的教育、医疗资源丰富，具有应用垂直大模型的良好基础，通过调研，分析北京推动垂直大模型应用的优势与劣势，针对当前垂直大模型应用面临的挑战和问题，从研发投入、数据开发使用、政策保障等各方面，对北京推动垂直大模型应用提出策略建议。</w:t>
      </w:r>
      <w:r>
        <w:rPr>
          <w:rFonts w:hint="default" w:ascii="仿宋_GB2312" w:hAnsi="Calibri" w:eastAsia="仿宋_GB2312" w:cs="仿宋_GB2312"/>
          <w:kern w:val="2"/>
          <w:sz w:val="32"/>
          <w:szCs w:val="32"/>
          <w:lang w:val="en-US" w:eastAsia="zh-CN" w:bidi="ar"/>
        </w:rPr>
        <w:tab/>
      </w:r>
    </w:p>
    <w:p w14:paraId="26F27071">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3.区域科技创新共同体发展调研</w:t>
      </w:r>
    </w:p>
    <w:p w14:paraId="110B4AF8">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2081E5FE">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科技创新共同体是由政府、高校、科研院所、企业等多元主体通过资源共享、协同攻关、成果转化等方式形成的创新联合体。通过调研，比较国内区域科技创新共同体发展的成功经验及存在问题，总结区域科技创新共同体建设的典型模式及其适用条件、优势劣势，了解京津冀科技创新共同体类别、功能发挥以及问题等，综合提出推动京津冀科技创新共同体发展的对策建议。</w:t>
      </w:r>
    </w:p>
    <w:p w14:paraId="0BA4E24B">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4.北京重点产业绿色转型升级科技需求调研</w:t>
      </w:r>
    </w:p>
    <w:p w14:paraId="45AABC03">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14DE03CD">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北京重点产业绿色转型升级对推动北京绿色低碳发展、建设美丽北京具有重要意义。科技创新是推动重点产业绿色转型的关键，聚焦汽车、电子、制药产业，了解北京重点产业绿色发展水平、瓶颈问题及科技需求，总结重点产业绿色发展的关键技术方向、发展路径和重点任务，为北京支持重点产业绿色转型升级和促进相关原创性绿色关键科技成果落地转化提供参考建议。</w:t>
      </w:r>
      <w:r>
        <w:rPr>
          <w:rFonts w:hint="default" w:ascii="仿宋_GB2312" w:hAnsi="Calibri" w:eastAsia="仿宋_GB2312" w:cs="仿宋_GB2312"/>
          <w:kern w:val="2"/>
          <w:sz w:val="32"/>
          <w:szCs w:val="32"/>
          <w:lang w:val="en-US" w:eastAsia="zh-CN" w:bidi="ar"/>
        </w:rPr>
        <w:tab/>
      </w:r>
    </w:p>
    <w:p w14:paraId="3327ECB6">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5.北京合成生物产业发展研究</w:t>
      </w:r>
    </w:p>
    <w:p w14:paraId="78386DB8">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27653E77">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合成生物被视为引领生物制造变革和生物经济发展的颠覆性技术，北京大力推动合成生物制造产业创新发展。通过调查，梳理北京合成生物领域的科研团队及合成生物产业规模、分布、技术、人才等现状。研究主要国家、地区合成生物产业发展情况，对比分析北京合成生物产业发展的机遇和挑战，提出北京合成生物产业发展的重点任务和保障措施建议。</w:t>
      </w:r>
      <w:r>
        <w:rPr>
          <w:rFonts w:hint="default" w:ascii="仿宋_GB2312" w:hAnsi="Calibri" w:eastAsia="仿宋_GB2312" w:cs="仿宋_GB2312"/>
          <w:kern w:val="2"/>
          <w:sz w:val="32"/>
          <w:szCs w:val="32"/>
          <w:lang w:val="en-US" w:eastAsia="zh-CN" w:bidi="ar"/>
        </w:rPr>
        <w:tab/>
      </w:r>
    </w:p>
    <w:p w14:paraId="6890277C">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6.光芯片产业现状趋势分析及北京市发展建议</w:t>
      </w:r>
    </w:p>
    <w:p w14:paraId="0398FCED">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3A882CDD">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随着AI的蓬勃发展，光芯片已经成为满足AI高带宽传输需求的关键技术支撑。通过调研，分析国内外光芯片产业布局和发展现状、重点企业布局及动向，判断发展趋势，梳理北京产业发展基础及现状、趋势等，提出针对性发展建议。</w:t>
      </w:r>
      <w:r>
        <w:rPr>
          <w:rFonts w:hint="default" w:ascii="仿宋_GB2312" w:hAnsi="Calibri" w:eastAsia="仿宋_GB2312" w:cs="仿宋_GB2312"/>
          <w:kern w:val="2"/>
          <w:sz w:val="32"/>
          <w:szCs w:val="32"/>
          <w:lang w:val="en-US" w:eastAsia="zh-CN" w:bidi="ar"/>
        </w:rPr>
        <w:tab/>
      </w:r>
    </w:p>
    <w:p w14:paraId="2AA88258">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7.北京加速推进智能软件产业发展研究</w:t>
      </w:r>
    </w:p>
    <w:p w14:paraId="131B5FAF">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1CC21ABF">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全球信息技术迅猛发展，智能软件产业已成为推动人工智能领域发展的核心力量。梳理北京在智能软件领域的发展现状及取得的成就，分析北京智能软件产业面临的多重问题与挑战。在此基础上，提出加速推进智能软件产业发展的政策举措。</w:t>
      </w:r>
      <w:r>
        <w:rPr>
          <w:rFonts w:hint="default" w:ascii="仿宋_GB2312" w:hAnsi="Calibri" w:eastAsia="仿宋_GB2312" w:cs="仿宋_GB2312"/>
          <w:kern w:val="2"/>
          <w:sz w:val="32"/>
          <w:szCs w:val="32"/>
          <w:lang w:val="en-US" w:eastAsia="zh-CN" w:bidi="ar"/>
        </w:rPr>
        <w:tab/>
      </w:r>
    </w:p>
    <w:p w14:paraId="02A14F6E">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8.北京算力产业发展路线研究</w:t>
      </w:r>
    </w:p>
    <w:p w14:paraId="2CDA19A5">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3533C893">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DeepSeek正式发布为算力产业开创了低成本、国产化的发展新路径，势必引发未来算力产业发展规划方向的重大调整。通过调查，摸清北京算力产业发展的现状和问题，梳理北京算力产业对接新形势新变化的差距，提出更适合新形势新变化的北京算力产业发展路径。</w:t>
      </w:r>
      <w:r>
        <w:rPr>
          <w:rFonts w:hint="default" w:ascii="仿宋_GB2312" w:hAnsi="Calibri" w:eastAsia="仿宋_GB2312" w:cs="仿宋_GB2312"/>
          <w:kern w:val="2"/>
          <w:sz w:val="32"/>
          <w:szCs w:val="32"/>
          <w:lang w:val="en-US" w:eastAsia="zh-CN" w:bidi="ar"/>
        </w:rPr>
        <w:tab/>
      </w:r>
    </w:p>
    <w:p w14:paraId="6C6BF006">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9.北京信创产业发展研究</w:t>
      </w:r>
    </w:p>
    <w:p w14:paraId="000C933F">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289A54DA">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在政策和市场因素共同推动下，信创产业快速发展。当前，进一步促进信创产业发展和应用推广已经成为解决核心技术受制于人的关键问题之一。通过调研，分析国内外信息技术（特别是基础软硬件）发展现状和趋势，掌握产业生态布局和重点行业领域应用需求，梳理北京相关产业发展基础，提出“十五五”期间北京信创产业发展建议。</w:t>
      </w:r>
      <w:r>
        <w:rPr>
          <w:rFonts w:hint="default" w:ascii="仿宋_GB2312" w:hAnsi="Calibri" w:eastAsia="仿宋_GB2312" w:cs="仿宋_GB2312"/>
          <w:kern w:val="2"/>
          <w:sz w:val="32"/>
          <w:szCs w:val="32"/>
          <w:lang w:val="en-US" w:eastAsia="zh-CN" w:bidi="ar"/>
        </w:rPr>
        <w:tab/>
      </w:r>
    </w:p>
    <w:p w14:paraId="7AFCD973">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10.北京推动完全自动驾驶汽车技术发展研究</w:t>
      </w:r>
    </w:p>
    <w:p w14:paraId="47CC51D7">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377801AC">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完全自动驾驶汽车技术将成为未来10年全球技术竞争的焦点之一。北京应依托科技、人才资源，探索推动完全自动驾驶汽车技术发展，率先争夺市场话语权。通过调查研究，分析北京探索推动完全自动驾驶汽车技术的现状与不足，与国内外相关区域比较，提出加快推动完全自动驾驶汽车技术发展的政策举措。</w:t>
      </w:r>
      <w:r>
        <w:rPr>
          <w:rFonts w:hint="default" w:ascii="仿宋_GB2312" w:hAnsi="Calibri" w:eastAsia="仿宋_GB2312" w:cs="仿宋_GB2312"/>
          <w:kern w:val="2"/>
          <w:sz w:val="32"/>
          <w:szCs w:val="32"/>
          <w:lang w:val="en-US" w:eastAsia="zh-CN" w:bidi="ar"/>
        </w:rPr>
        <w:tab/>
      </w:r>
    </w:p>
    <w:p w14:paraId="37B25FC1">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11.变革性技术和颠覆性创新的发现和培育机制研究</w:t>
      </w:r>
    </w:p>
    <w:p w14:paraId="579CBDF5">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1B30838A">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变革性技术与颠覆性创新是引领全球科技革命和产业变革的核心驱动力。深入研究技术演进规律、创新生态要素及政策激励路径，分析传统创新机制在识别、评价和支持高风险高潜力技术方面存在的滞后性，结合国际经验与本土实践，研究如何通过机制优化，建立变革性技术和颠覆性创新的发现和培育机制，为培育具有全球影响力的原创成果提供参考。</w:t>
      </w:r>
      <w:r>
        <w:rPr>
          <w:rFonts w:hint="default" w:ascii="仿宋_GB2312" w:hAnsi="Calibri" w:eastAsia="仿宋_GB2312" w:cs="仿宋_GB2312"/>
          <w:kern w:val="2"/>
          <w:sz w:val="32"/>
          <w:szCs w:val="32"/>
          <w:lang w:val="en-US" w:eastAsia="zh-CN" w:bidi="ar"/>
        </w:rPr>
        <w:tab/>
      </w:r>
    </w:p>
    <w:p w14:paraId="2EF7040C">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12.北京城市地下水回升引发的基础设施安全应对研究</w:t>
      </w:r>
    </w:p>
    <w:p w14:paraId="4FF98269">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56C23583">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地下水回升可能引发严重的地质灾害。梳理北京近年来地下水位回升情况，研究其对北京的地下管线、地下人防工程、地下基建等基础设施安全的影响。对比因地下水位升高导致城市基建设施损害的典型案例，研究提出适合北京市情的地下水监测、风险分析与应急预警等应对建议。</w:t>
      </w:r>
      <w:r>
        <w:rPr>
          <w:rFonts w:hint="default" w:ascii="仿宋_GB2312" w:hAnsi="Calibri" w:eastAsia="仿宋_GB2312" w:cs="仿宋_GB2312"/>
          <w:kern w:val="2"/>
          <w:sz w:val="32"/>
          <w:szCs w:val="32"/>
          <w:lang w:val="en-US" w:eastAsia="zh-CN" w:bidi="ar"/>
        </w:rPr>
        <w:tab/>
      </w:r>
    </w:p>
    <w:p w14:paraId="52437EE0">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13.北京吸收留学回国人才情况调研</w:t>
      </w:r>
    </w:p>
    <w:p w14:paraId="659C0E76">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200D90A9">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 xml:space="preserve">梳理北京留学回国人才的数量、结构、学历背景、留学国家、专业领域、就业创业等状况，收集留学回国人才在就业创业、生活保障、社会融入等方面的需求，比较国内其他城市吸引留学回国人才的经验做法，分析北京现有政策措施，评估政策实施效果及存在问题，研究提出北京优化留学回国人才服务的对策建议。  </w:t>
      </w:r>
    </w:p>
    <w:p w14:paraId="4A1C86B8">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14.北京市科普人才与科研人才队伍建设协同推进研究</w:t>
      </w:r>
    </w:p>
    <w:p w14:paraId="73613A63">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1FD8AE6E">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科普人才是科普事业发展的第一资源，新修订的科普法新增“科普人员”专章，鼓励更多科技人才成为科普人才。通过调研，了解科研人员参与科普存在的问题、制约以及科普人才队伍持续健康发展面临的主要问题，了解科普人才成长诉求，对比分析国内外科研人才参与科普经验，提出推动科研人才与科普人才协同发展的对策建议。</w:t>
      </w:r>
      <w:r>
        <w:rPr>
          <w:rFonts w:hint="default" w:ascii="仿宋_GB2312" w:hAnsi="Calibri" w:eastAsia="仿宋_GB2312" w:cs="仿宋_GB2312"/>
          <w:kern w:val="2"/>
          <w:sz w:val="32"/>
          <w:szCs w:val="32"/>
          <w:lang w:val="en-US" w:eastAsia="zh-CN" w:bidi="ar"/>
        </w:rPr>
        <w:tab/>
      </w:r>
    </w:p>
    <w:p w14:paraId="4222FF82">
      <w:pPr>
        <w:keepNext w:val="0"/>
        <w:keepLines w:val="0"/>
        <w:widowControl w:val="0"/>
        <w:suppressLineNumbers w:val="0"/>
        <w:autoSpaceDE w:val="0"/>
        <w:autoSpaceDN/>
        <w:spacing w:before="0" w:beforeAutospacing="0" w:after="0" w:afterAutospacing="0" w:line="580"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15.AI4S对科技工作者发展影响研究</w:t>
      </w:r>
    </w:p>
    <w:p w14:paraId="2AA4FCF9">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color w:val="000000"/>
          <w:kern w:val="0"/>
          <w:sz w:val="32"/>
          <w:szCs w:val="32"/>
          <w:lang w:val="en-US" w:eastAsia="zh-CN" w:bidi="ar"/>
        </w:rPr>
        <w:t>资助金额：</w:t>
      </w:r>
      <w:r>
        <w:rPr>
          <w:rFonts w:hint="default" w:ascii="仿宋_GB2312" w:hAnsi="Calibri" w:eastAsia="仿宋_GB2312" w:cs="仿宋_GB2312"/>
          <w:kern w:val="2"/>
          <w:sz w:val="32"/>
          <w:szCs w:val="32"/>
          <w:lang w:val="en-US" w:eastAsia="zh-CN" w:bidi="ar"/>
        </w:rPr>
        <w:t>7万</w:t>
      </w:r>
    </w:p>
    <w:p w14:paraId="2DC00448">
      <w:pPr>
        <w:keepNext w:val="0"/>
        <w:keepLines w:val="0"/>
        <w:widowControl/>
        <w:suppressLineNumbers w:val="0"/>
        <w:autoSpaceDE w:val="0"/>
        <w:autoSpaceDN/>
        <w:spacing w:before="0" w:beforeAutospacing="0" w:after="0" w:afterAutospacing="0" w:line="580" w:lineRule="exact"/>
        <w:ind w:left="0" w:right="0" w:firstLine="640"/>
        <w:jc w:val="both"/>
        <w:rPr>
          <w:rFonts w:hint="default" w:ascii="仿宋_GB2312" w:eastAsia="仿宋_GB2312" w:cs="仿宋_GB2312"/>
          <w:kern w:val="2"/>
          <w:sz w:val="32"/>
          <w:szCs w:val="32"/>
        </w:rPr>
      </w:pPr>
      <w:r>
        <w:rPr>
          <w:rFonts w:hint="default" w:ascii="仿宋_GB2312" w:hAnsi="Calibri" w:eastAsia="仿宋_GB2312" w:cs="仿宋_GB2312"/>
          <w:kern w:val="2"/>
          <w:sz w:val="32"/>
          <w:szCs w:val="32"/>
          <w:lang w:val="en-US" w:eastAsia="zh-CN" w:bidi="ar"/>
        </w:rPr>
        <w:t>AI4S通过人工智能增强和加速科学研究中的实验设计、数据收集分析等，使科学研究更加高效。调查科技工作者对用人工智能推进科学研究的思考和实践，梳理国内外相关做法，研究提出AI赋能科学对科技工作者科研实践、创新创业、成长发展等方面的影响，提出科技工作者通过AI4S促进成长发展的参考建议。</w:t>
      </w:r>
      <w:r>
        <w:rPr>
          <w:rFonts w:hint="eastAsia" w:ascii="黑体" w:hAnsi="宋体" w:eastAsia="黑体" w:cs="黑体"/>
          <w:kern w:val="2"/>
          <w:sz w:val="32"/>
          <w:szCs w:val="32"/>
          <w:lang w:val="en-US" w:eastAsia="zh-CN" w:bidi="ar"/>
        </w:rPr>
        <w:tab/>
      </w:r>
    </w:p>
    <w:p w14:paraId="1A3738A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小标宋简体">
    <w:altName w:val="方正舒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E13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uiPriority w:val="0"/>
    <w:pPr>
      <w:keepNext w:val="0"/>
      <w:keepLines w:val="0"/>
      <w:widowControl/>
      <w:suppressLineNumbers w:val="0"/>
      <w:spacing w:before="0" w:beforeAutospacing="1" w:after="0" w:afterAutospacing="1" w:line="360" w:lineRule="auto"/>
      <w:jc w:val="left"/>
    </w:pPr>
    <w:rPr>
      <w:rFonts w:hint="default" w:ascii="Arial" w:hAnsi="Arial" w:eastAsia="宋体" w:cs="Arial"/>
      <w:color w:val="000000"/>
      <w:kern w:val="0"/>
      <w:sz w:val="18"/>
      <w:szCs w:val="18"/>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1</Lines>
  <Paragraphs>1</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2025-03-07T11:33:54Z</dcterms:created>
  <dc:creator>admin</dc:creator>
  <cp:lastModifiedBy></cp:lastModifiedBy>
  <dcterms:modified xsi:type="dcterms:W3CDTF">2025-03-07T11:34:15Z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eyJoZGlkIjoiYjYwYmJiZWU1YmJkMGMwNjhjNmFiZDQ3ZDg4MTcwN2MiLCJ1c2VySWQiOiIyNDg0OTIxNjAifQ==</vt:lpwstr>
  </property>
  <property fmtid="{D5CDD505-2E9C-101B-9397-08002B2CF9AE}" pid="4" name="ICV">
    <vt:lpwstr>01835BF1D82945E28DC549892DEC0935_12</vt:lpwstr>
  </property>
</Properties>
</file>